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9CE0" w14:textId="2AF83897" w:rsidR="003C6292" w:rsidRPr="005D62C8" w:rsidRDefault="003C6292" w:rsidP="003C6292">
      <w:pPr>
        <w:ind w:left="8280"/>
        <w:jc w:val="right"/>
      </w:pPr>
      <w:r w:rsidRPr="005D62C8">
        <w:t>2. pielikums</w:t>
      </w:r>
    </w:p>
    <w:p w14:paraId="2451FF04" w14:textId="77777777" w:rsidR="003C6292" w:rsidRDefault="003C6292" w:rsidP="003C6292">
      <w:pPr>
        <w:ind w:left="360"/>
        <w:jc w:val="center"/>
        <w:rPr>
          <w:i/>
        </w:rPr>
      </w:pPr>
    </w:p>
    <w:p w14:paraId="78B0F46C" w14:textId="77777777" w:rsidR="003C6292" w:rsidRDefault="003C6292" w:rsidP="003C6292">
      <w:pPr>
        <w:ind w:left="360"/>
        <w:jc w:val="center"/>
        <w:rPr>
          <w:b/>
        </w:rPr>
      </w:pPr>
      <w:r w:rsidRPr="00836093">
        <w:rPr>
          <w:b/>
          <w:bCs/>
          <w:iCs/>
        </w:rPr>
        <w:t>RT</w:t>
      </w:r>
      <w:r>
        <w:rPr>
          <w:b/>
        </w:rPr>
        <w:t xml:space="preserve">U </w:t>
      </w:r>
      <w:r w:rsidRPr="00897932">
        <w:rPr>
          <w:b/>
        </w:rPr>
        <w:t>doktorantūras grant</w:t>
      </w:r>
      <w:r>
        <w:rPr>
          <w:b/>
        </w:rPr>
        <w:t>a</w:t>
      </w:r>
      <w:r w:rsidRPr="00897932">
        <w:rPr>
          <w:b/>
        </w:rPr>
        <w:t xml:space="preserve"> </w:t>
      </w:r>
      <w:r>
        <w:rPr>
          <w:b/>
        </w:rPr>
        <w:t>pieteikumu vērtēšanas kritēriji un metodika</w:t>
      </w:r>
    </w:p>
    <w:p w14:paraId="379DC760" w14:textId="77777777" w:rsidR="003C6292" w:rsidRPr="00027EC2" w:rsidRDefault="003C6292" w:rsidP="003C6292">
      <w:pPr>
        <w:ind w:left="360"/>
        <w:jc w:val="center"/>
        <w:rPr>
          <w:sz w:val="22"/>
          <w:szCs w:val="22"/>
        </w:rPr>
      </w:pPr>
    </w:p>
    <w:p w14:paraId="3AF67655" w14:textId="77777777" w:rsidR="003C6292" w:rsidRDefault="003C6292" w:rsidP="003C6292">
      <w:pPr>
        <w:numPr>
          <w:ilvl w:val="0"/>
          <w:numId w:val="5"/>
        </w:numPr>
        <w:ind w:left="714" w:hanging="357"/>
        <w:jc w:val="both"/>
      </w:pPr>
      <w:r w:rsidRPr="00AB5322">
        <w:t xml:space="preserve">Zinātniskās publikācijas konkursa kritērijos klasificētas pēc to veidiem atbilstoši Latvijas Zinātnes </w:t>
      </w:r>
      <w:r>
        <w:t>p</w:t>
      </w:r>
      <w:r w:rsidRPr="00AB5322">
        <w:t>adomes 28.11.2012. apstiprinātajai Zinātnisko publikāciju klasifikācijai.</w:t>
      </w:r>
    </w:p>
    <w:p w14:paraId="1C266729" w14:textId="77777777" w:rsidR="003C6292" w:rsidRPr="0044411F" w:rsidRDefault="003C6292" w:rsidP="003C6292">
      <w:pPr>
        <w:numPr>
          <w:ilvl w:val="0"/>
          <w:numId w:val="5"/>
        </w:numPr>
        <w:ind w:left="714" w:hanging="357"/>
        <w:jc w:val="both"/>
      </w:pPr>
      <w:r w:rsidRPr="0044411F">
        <w:t>Publikāciju saistību ar promocijas darba tēmu izvērtē, balstoties uz atslēgas vārdiem.</w:t>
      </w:r>
    </w:p>
    <w:p w14:paraId="08503FED" w14:textId="77777777" w:rsidR="003C6292" w:rsidRPr="00AB5322" w:rsidRDefault="003C6292" w:rsidP="003C6292">
      <w:pPr>
        <w:numPr>
          <w:ilvl w:val="0"/>
          <w:numId w:val="5"/>
        </w:numPr>
        <w:ind w:left="714" w:hanging="357"/>
        <w:jc w:val="both"/>
      </w:pPr>
      <w:r w:rsidRPr="00AB5322">
        <w:t xml:space="preserve">Publikācijām un monogrāfijām, kurām ir vairāk </w:t>
      </w:r>
      <w:r>
        <w:t>ne</w:t>
      </w:r>
      <w:r w:rsidRPr="00AB5322">
        <w:t>kā 4 līdzautori, punktu skaitu aprēķina</w:t>
      </w:r>
      <w:r>
        <w:t>,</w:t>
      </w:r>
      <w:r w:rsidRPr="00AB5322">
        <w:t xml:space="preserve"> atbilstošo punktu skai</w:t>
      </w:r>
      <w:r>
        <w:t>tu no 1. tabulas samazinot par 2,</w:t>
      </w:r>
      <w:r w:rsidRPr="00AB5322">
        <w:t>5</w:t>
      </w:r>
      <w:r>
        <w:t xml:space="preserve"> </w:t>
      </w:r>
      <w:r w:rsidRPr="00AB5322">
        <w:t xml:space="preserve">% par katru nākamo līdzautoru. Ja publikācijai ir vairāk </w:t>
      </w:r>
      <w:r>
        <w:t>ne</w:t>
      </w:r>
      <w:r w:rsidRPr="00AB5322">
        <w:t>kā 24 līdzautori, tad punktu skaitu aprēķina</w:t>
      </w:r>
      <w:r>
        <w:t>,</w:t>
      </w:r>
      <w:r w:rsidRPr="00AB5322">
        <w:t xml:space="preserve"> atbilstošo punktu skaitu no 1.</w:t>
      </w:r>
      <w:r>
        <w:t xml:space="preserve"> </w:t>
      </w:r>
      <w:r w:rsidRPr="00AB5322">
        <w:t>tabulas dalot ar 2 neatkarīgi no līdzautoru skaita.</w:t>
      </w:r>
    </w:p>
    <w:p w14:paraId="09B12B23" w14:textId="77777777" w:rsidR="003C6292" w:rsidRPr="00AB5322" w:rsidRDefault="003C6292" w:rsidP="003C6292">
      <w:pPr>
        <w:numPr>
          <w:ilvl w:val="0"/>
          <w:numId w:val="5"/>
        </w:numPr>
        <w:ind w:left="714" w:hanging="357"/>
        <w:jc w:val="both"/>
      </w:pPr>
      <w:r w:rsidRPr="00AB5322">
        <w:t>Iesniedzot publikāci</w:t>
      </w:r>
      <w:r>
        <w:t>ju sarakstu, jānorāda, kādā datu</w:t>
      </w:r>
      <w:r w:rsidRPr="00AB5322">
        <w:t xml:space="preserve">bāzē publikācija atrodama. Publikācija netiek uzskatīta </w:t>
      </w:r>
      <w:r>
        <w:t>par</w:t>
      </w:r>
      <w:r w:rsidRPr="00AB5322">
        <w:t xml:space="preserve"> indeksēt</w:t>
      </w:r>
      <w:r>
        <w:t>u</w:t>
      </w:r>
      <w:r w:rsidRPr="00AB5322">
        <w:t xml:space="preserve"> datubāzē līdz brīdim, kad tā tiek ievietota atbilstošajā datubāzē. </w:t>
      </w:r>
    </w:p>
    <w:p w14:paraId="6CD08E7E" w14:textId="77777777" w:rsidR="003C6292" w:rsidRDefault="003C6292" w:rsidP="003C6292">
      <w:pPr>
        <w:numPr>
          <w:ilvl w:val="0"/>
          <w:numId w:val="5"/>
        </w:numPr>
        <w:ind w:left="714" w:hanging="357"/>
        <w:jc w:val="both"/>
      </w:pPr>
      <w:r w:rsidRPr="00AB5322">
        <w:t>Attiecībā uz iesniegtajiem, bet uz konkursa brīdi nepublicētajiem rakstu darbiem (publikācijām) tiek piemērots punktu pazemināšanas koeficients (0,8). Iesniegtās publikācijas netiek u</w:t>
      </w:r>
      <w:r>
        <w:t>zskatītas par citējamām vai datu</w:t>
      </w:r>
      <w:r w:rsidRPr="00AB5322">
        <w:t>bāzēs atrodam</w:t>
      </w:r>
      <w:r>
        <w:t>ām</w:t>
      </w:r>
      <w:r w:rsidRPr="00AB5322">
        <w:t xml:space="preserve"> līdz brīdim, kad tās tiek publicētas un</w:t>
      </w:r>
      <w:r>
        <w:t xml:space="preserve"> attiecīgi indeksētas atbilstošajās datu</w:t>
      </w:r>
      <w:r w:rsidRPr="00AB5322">
        <w:t>bāzēs. Tiek vērtētas tikai tās iesniegtās publikācijas, kurām ir pievienot</w:t>
      </w:r>
      <w:r>
        <w:t>s</w:t>
      </w:r>
      <w:r w:rsidRPr="00AB5322">
        <w:t xml:space="preserve"> izdevniecīb</w:t>
      </w:r>
      <w:r>
        <w:t>as</w:t>
      </w:r>
      <w:r w:rsidRPr="00AB5322">
        <w:t xml:space="preserve"> vai konferences organizator</w:t>
      </w:r>
      <w:r>
        <w:t>u apliecinājums</w:t>
      </w:r>
      <w:r w:rsidRPr="00AB5322">
        <w:t>, ka raksts ir pieņemts publicēšanai.</w:t>
      </w:r>
    </w:p>
    <w:p w14:paraId="17F75B22" w14:textId="77777777" w:rsidR="003C6292" w:rsidRPr="00AB5322" w:rsidRDefault="003C6292" w:rsidP="003C6292">
      <w:pPr>
        <w:numPr>
          <w:ilvl w:val="0"/>
          <w:numId w:val="5"/>
        </w:numPr>
        <w:ind w:left="714" w:hanging="357"/>
        <w:jc w:val="both"/>
      </w:pPr>
      <w:r w:rsidRPr="00AB5322">
        <w:t>Punktu skaits par patentiem netiek dalīts ar autoru skaitu.</w:t>
      </w:r>
    </w:p>
    <w:p w14:paraId="076FD570" w14:textId="77777777" w:rsidR="003C6292" w:rsidRDefault="003C6292" w:rsidP="003C6292">
      <w:pPr>
        <w:numPr>
          <w:ilvl w:val="0"/>
          <w:numId w:val="5"/>
        </w:numPr>
        <w:ind w:left="714" w:hanging="357"/>
        <w:jc w:val="both"/>
      </w:pPr>
      <w:r w:rsidRPr="00AB5322">
        <w:t>Gadījumā, ja kandidāta iesniegtā informācija neļauj noteikt publikācijas atbilstību kādai no Zinātnisko publikāciju klasifikatora klasēm, tā netiek ņemta vērā.</w:t>
      </w:r>
    </w:p>
    <w:p w14:paraId="685BD1FF" w14:textId="77777777" w:rsidR="003C6292" w:rsidRPr="00AB5322" w:rsidRDefault="003C6292" w:rsidP="003C6292">
      <w:pPr>
        <w:ind w:left="714"/>
        <w:jc w:val="both"/>
      </w:pPr>
    </w:p>
    <w:p w14:paraId="25941933" w14:textId="77777777" w:rsidR="003C6292" w:rsidRPr="00386860" w:rsidRDefault="003C6292" w:rsidP="003C6292">
      <w:pPr>
        <w:ind w:left="357"/>
        <w:jc w:val="right"/>
      </w:pPr>
      <w:r w:rsidRPr="00386860">
        <w:t xml:space="preserve">1. tabula </w:t>
      </w:r>
    </w:p>
    <w:p w14:paraId="3D979324" w14:textId="77777777" w:rsidR="003C6292" w:rsidRPr="000A5501" w:rsidRDefault="003C6292" w:rsidP="003C6292">
      <w:pPr>
        <w:ind w:left="357"/>
        <w:jc w:val="center"/>
        <w:rPr>
          <w:i/>
        </w:rPr>
      </w:pPr>
      <w:r w:rsidRPr="000A5501">
        <w:rPr>
          <w:i/>
        </w:rPr>
        <w:t>Grantu vērtēšanas kritēriji un ieg</w:t>
      </w:r>
      <w:r>
        <w:rPr>
          <w:i/>
        </w:rPr>
        <w:t>ūstamo punktu skaits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559"/>
        <w:gridCol w:w="1701"/>
      </w:tblGrid>
      <w:tr w:rsidR="003C6292" w:rsidRPr="00A13561" w14:paraId="49D99BFA" w14:textId="77777777" w:rsidTr="00313C68">
        <w:trPr>
          <w:trHeight w:val="3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F34" w14:textId="77777777" w:rsidR="003C6292" w:rsidRPr="00A13561" w:rsidRDefault="003C6292" w:rsidP="00313C68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A13561">
              <w:rPr>
                <w:b/>
                <w:sz w:val="21"/>
                <w:szCs w:val="21"/>
              </w:rPr>
              <w:t>KONKURSA KRITĒRIJI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A02" w14:textId="77777777" w:rsidR="003C6292" w:rsidRPr="00A13561" w:rsidRDefault="003C6292" w:rsidP="00313C68">
            <w:pPr>
              <w:spacing w:before="60" w:after="60"/>
              <w:ind w:left="6" w:right="-108" w:hanging="6"/>
              <w:jc w:val="center"/>
              <w:rPr>
                <w:b/>
                <w:sz w:val="21"/>
                <w:szCs w:val="21"/>
              </w:rPr>
            </w:pPr>
            <w:r w:rsidRPr="00A13561">
              <w:rPr>
                <w:b/>
                <w:sz w:val="21"/>
                <w:szCs w:val="21"/>
              </w:rPr>
              <w:t>PUNKTU SKAITS</w:t>
            </w:r>
          </w:p>
        </w:tc>
      </w:tr>
      <w:tr w:rsidR="003C6292" w14:paraId="741996F5" w14:textId="77777777" w:rsidTr="00313C68">
        <w:trPr>
          <w:trHeight w:val="326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1AA13" w14:textId="77777777" w:rsidR="003C6292" w:rsidRPr="00A13561" w:rsidRDefault="003C6292" w:rsidP="003C6292">
            <w:pPr>
              <w:numPr>
                <w:ilvl w:val="0"/>
                <w:numId w:val="6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  <w:r w:rsidRPr="00A13561">
              <w:rPr>
                <w:b/>
                <w:sz w:val="21"/>
                <w:szCs w:val="21"/>
              </w:rPr>
              <w:t>RTU publikāciju reģistram pievienotās</w:t>
            </w:r>
            <w:r w:rsidRPr="00A13561">
              <w:rPr>
                <w:sz w:val="21"/>
                <w:szCs w:val="21"/>
              </w:rPr>
              <w:t xml:space="preserve"> </w:t>
            </w:r>
            <w:r w:rsidRPr="00A13561">
              <w:rPr>
                <w:b/>
                <w:sz w:val="21"/>
                <w:szCs w:val="21"/>
              </w:rPr>
              <w:t>ar promocijas darba tēmu saistītās piln</w:t>
            </w:r>
            <w:r>
              <w:rPr>
                <w:b/>
                <w:sz w:val="21"/>
                <w:szCs w:val="21"/>
              </w:rPr>
              <w:t>a</w:t>
            </w:r>
            <w:r w:rsidRPr="00A13561">
              <w:rPr>
                <w:b/>
                <w:sz w:val="21"/>
                <w:szCs w:val="21"/>
              </w:rPr>
              <w:t xml:space="preserve"> tekst</w:t>
            </w:r>
            <w:r>
              <w:rPr>
                <w:b/>
                <w:sz w:val="21"/>
                <w:szCs w:val="21"/>
              </w:rPr>
              <w:t>a</w:t>
            </w:r>
            <w:r w:rsidRPr="00A13561">
              <w:rPr>
                <w:b/>
                <w:sz w:val="21"/>
                <w:szCs w:val="21"/>
              </w:rPr>
              <w:t xml:space="preserve"> PUBLIKĀCIJAS, sagrupētas pa šādiem veidiem:</w:t>
            </w:r>
          </w:p>
          <w:p w14:paraId="3E267617" w14:textId="77777777" w:rsidR="003C6292" w:rsidRDefault="003C6292" w:rsidP="00313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 ieskaitītas </w:t>
            </w:r>
            <w:r>
              <w:rPr>
                <w:sz w:val="20"/>
                <w:szCs w:val="20"/>
                <w:u w:val="single"/>
              </w:rPr>
              <w:t>doktorantūras laikā</w:t>
            </w:r>
            <w:r>
              <w:rPr>
                <w:sz w:val="20"/>
                <w:szCs w:val="20"/>
              </w:rPr>
              <w:t xml:space="preserve"> publicētās un iesniegtās publikācijas </w:t>
            </w:r>
          </w:p>
          <w:p w14:paraId="648D2C5E" w14:textId="77777777" w:rsidR="003C6292" w:rsidRDefault="003C6292" w:rsidP="00313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EE17" w14:textId="77777777" w:rsidR="003C6292" w:rsidRPr="00A13561" w:rsidRDefault="003C6292" w:rsidP="00313C68">
            <w:pPr>
              <w:spacing w:beforeLines="10" w:before="24"/>
              <w:jc w:val="center"/>
              <w:rPr>
                <w:i/>
                <w:sz w:val="21"/>
                <w:szCs w:val="21"/>
              </w:rPr>
            </w:pPr>
            <w:r w:rsidRPr="00A13561">
              <w:rPr>
                <w:b/>
                <w:sz w:val="21"/>
                <w:szCs w:val="21"/>
              </w:rPr>
              <w:t>Publikācijas</w:t>
            </w:r>
          </w:p>
        </w:tc>
      </w:tr>
      <w:tr w:rsidR="003C6292" w14:paraId="48F55D60" w14:textId="77777777" w:rsidTr="00313C68">
        <w:trPr>
          <w:cantSplit/>
          <w:trHeight w:val="276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C13476" w14:textId="77777777" w:rsidR="003C6292" w:rsidRDefault="003C6292" w:rsidP="00313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06454B" w14:textId="77777777" w:rsidR="003C6292" w:rsidRPr="00A13561" w:rsidRDefault="003C6292" w:rsidP="00313C68">
            <w:pPr>
              <w:spacing w:beforeLines="10" w:before="24" w:afterLines="20" w:after="48"/>
              <w:ind w:hanging="57"/>
              <w:jc w:val="center"/>
              <w:rPr>
                <w:b/>
                <w:sz w:val="21"/>
                <w:szCs w:val="21"/>
              </w:rPr>
            </w:pPr>
            <w:r w:rsidRPr="00A13561">
              <w:rPr>
                <w:b/>
                <w:sz w:val="21"/>
                <w:szCs w:val="21"/>
              </w:rPr>
              <w:t>Publicētas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D3174" w14:textId="77777777" w:rsidR="003C6292" w:rsidRPr="00A13561" w:rsidRDefault="003C6292" w:rsidP="00313C68">
            <w:pPr>
              <w:spacing w:beforeLines="10" w:before="24" w:afterLines="20" w:after="48"/>
              <w:ind w:hanging="106"/>
              <w:jc w:val="center"/>
              <w:rPr>
                <w:b/>
                <w:sz w:val="21"/>
                <w:szCs w:val="21"/>
              </w:rPr>
            </w:pPr>
            <w:r w:rsidRPr="00A13561">
              <w:rPr>
                <w:b/>
                <w:sz w:val="21"/>
                <w:szCs w:val="21"/>
              </w:rPr>
              <w:t>Iesniegtas</w:t>
            </w:r>
          </w:p>
          <w:p w14:paraId="537EF57F" w14:textId="77777777" w:rsidR="003C6292" w:rsidRPr="00A13561" w:rsidRDefault="003C6292" w:rsidP="00313C68">
            <w:pPr>
              <w:spacing w:beforeLines="10" w:before="24" w:afterLines="20" w:after="48"/>
              <w:ind w:hanging="106"/>
              <w:jc w:val="center"/>
              <w:rPr>
                <w:b/>
                <w:sz w:val="21"/>
                <w:szCs w:val="21"/>
              </w:rPr>
            </w:pPr>
          </w:p>
          <w:p w14:paraId="489CF87B" w14:textId="77777777" w:rsidR="003C6292" w:rsidRPr="00A13561" w:rsidRDefault="003C6292" w:rsidP="00313C68">
            <w:pPr>
              <w:spacing w:beforeLines="10" w:before="24" w:afterLines="20" w:after="48"/>
              <w:ind w:hanging="106"/>
              <w:jc w:val="center"/>
              <w:rPr>
                <w:sz w:val="21"/>
                <w:szCs w:val="21"/>
              </w:rPr>
            </w:pPr>
          </w:p>
        </w:tc>
      </w:tr>
      <w:tr w:rsidR="003C6292" w14:paraId="37DAB099" w14:textId="77777777" w:rsidTr="00313C68"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0BC9" w14:textId="77777777" w:rsidR="003C6292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</w:pPr>
            <w:r>
              <w:rPr>
                <w:color w:val="000000"/>
                <w:sz w:val="21"/>
                <w:szCs w:val="21"/>
              </w:rPr>
              <w:t>Izdevniecībā izdotas un r</w:t>
            </w:r>
            <w:r w:rsidRPr="00A13561">
              <w:rPr>
                <w:color w:val="000000"/>
                <w:sz w:val="21"/>
                <w:szCs w:val="21"/>
              </w:rPr>
              <w:t>ecenzētas zinātnisk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>s monogrāfijas vai kolektīv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 xml:space="preserve">s monogrāfijas ar ISBN kodu, kas izpilda </w:t>
            </w:r>
            <w:r w:rsidRPr="00A13561">
              <w:rPr>
                <w:sz w:val="21"/>
                <w:szCs w:val="21"/>
              </w:rPr>
              <w:t>Zinātnisko publikāciju klasifikatora noteiktos</w:t>
            </w:r>
            <w:r w:rsidRPr="00A13561">
              <w:rPr>
                <w:color w:val="000000"/>
                <w:sz w:val="21"/>
                <w:szCs w:val="21"/>
              </w:rPr>
              <w:t xml:space="preserve"> kritērijus vai ir </w:t>
            </w:r>
            <w:r>
              <w:rPr>
                <w:color w:val="000000"/>
                <w:sz w:val="21"/>
                <w:szCs w:val="21"/>
              </w:rPr>
              <w:t>indeksētas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 Book Citation Index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(atbilstoši Zinātnisko publikāciju klasifikācijas 2. punkta 2.1. apakšpunktam)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E4AD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20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A5B4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16 punkti</w:t>
            </w:r>
          </w:p>
        </w:tc>
      </w:tr>
      <w:tr w:rsidR="003C6292" w14:paraId="2325D531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BEFD" w14:textId="77777777" w:rsidR="003C6292" w:rsidRPr="00A13561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Citas zinātniskās grāmatas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CED8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10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3A0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8 punkti</w:t>
            </w:r>
          </w:p>
        </w:tc>
      </w:tr>
      <w:tr w:rsidR="003C6292" w14:paraId="15EE16B4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7A36" w14:textId="77777777" w:rsidR="003C6292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13561">
              <w:rPr>
                <w:color w:val="000000"/>
                <w:sz w:val="21"/>
                <w:szCs w:val="21"/>
              </w:rPr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raksti, kas indeksēti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</w:t>
            </w:r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r w:rsidRPr="00A13561">
              <w:rPr>
                <w:color w:val="000000"/>
                <w:sz w:val="21"/>
                <w:szCs w:val="21"/>
              </w:rPr>
              <w:t xml:space="preserve"> datubāzē un/vai iekļauti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(</w:t>
            </w:r>
            <w:r w:rsidRPr="00A13561">
              <w:rPr>
                <w:i/>
                <w:color w:val="000000"/>
                <w:sz w:val="21"/>
                <w:szCs w:val="21"/>
              </w:rPr>
              <w:t>European Reference Index of the Humanities</w:t>
            </w:r>
            <w:r w:rsidRPr="00A13561">
              <w:rPr>
                <w:color w:val="000000"/>
                <w:sz w:val="21"/>
                <w:szCs w:val="21"/>
              </w:rPr>
              <w:t xml:space="preserve">) datubāzes </w:t>
            </w:r>
            <w:r w:rsidRPr="00A13561">
              <w:rPr>
                <w:i/>
                <w:color w:val="000000"/>
                <w:sz w:val="21"/>
                <w:szCs w:val="21"/>
              </w:rPr>
              <w:t>INT1</w:t>
            </w:r>
            <w:r w:rsidRPr="00A13561">
              <w:rPr>
                <w:color w:val="000000"/>
                <w:sz w:val="21"/>
                <w:szCs w:val="21"/>
              </w:rPr>
              <w:t xml:space="preserve"> vai 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INT2 </w:t>
            </w:r>
            <w:r w:rsidRPr="00A13561">
              <w:rPr>
                <w:color w:val="000000"/>
                <w:sz w:val="21"/>
                <w:szCs w:val="21"/>
              </w:rPr>
              <w:t>kategorijas žurnālos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(atbilstoši Zinātnisko publikāciju klasifikācijas 1. punkta 1.1. apakšpunktam)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5969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20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EB49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 attiecināms</w:t>
            </w:r>
          </w:p>
        </w:tc>
      </w:tr>
      <w:tr w:rsidR="003C6292" w14:paraId="61769BED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C04B" w14:textId="77777777" w:rsidR="003C6292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13561">
              <w:rPr>
                <w:color w:val="000000"/>
                <w:sz w:val="21"/>
                <w:szCs w:val="21"/>
              </w:rPr>
              <w:t>Recenzēti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raksti, kas publicēti citos starptautiskos un Latvijā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žurnālos, kam ir ISSN kods, starptautiska redkolēģija, kas starptautiski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 xml:space="preserve">tiek izplatīti un kuros tiek publicēti dažādu valstu zinātnieku raksti, kā arī raksti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datubāzes </w:t>
            </w:r>
            <w:r w:rsidRPr="00A13561">
              <w:rPr>
                <w:i/>
                <w:color w:val="000000"/>
                <w:sz w:val="21"/>
                <w:szCs w:val="21"/>
              </w:rPr>
              <w:t>NAT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(atbilstoši Zinātnisko publikāciju klasifikācijas 1. punkta 1.2. apakšpunktam)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F355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10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7E9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8 punkti </w:t>
            </w:r>
          </w:p>
        </w:tc>
      </w:tr>
      <w:tr w:rsidR="003C6292" w14:paraId="7E58E39F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B7A" w14:textId="77777777" w:rsidR="003C6292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13561">
              <w:rPr>
                <w:color w:val="000000"/>
                <w:sz w:val="21"/>
                <w:szCs w:val="21"/>
              </w:rPr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Latvijā un citās valstīs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 ar vietējo redkolēģiju,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Latvijas kultūrai nozīmīgos žurnālos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(atbilstoši Zinātnisko publikāciju klasifikācijas 1. punkta 1.3. apakšpunktam)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EBC5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5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C41A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4 punkti</w:t>
            </w:r>
          </w:p>
        </w:tc>
      </w:tr>
      <w:tr w:rsidR="003C6292" w14:paraId="74CC7C57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4439" w14:textId="77777777" w:rsidR="003C6292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Publikācijas</w:t>
            </w:r>
            <w:r w:rsidRPr="00A13561">
              <w:rPr>
                <w:color w:val="000000"/>
                <w:sz w:val="21"/>
                <w:szCs w:val="21"/>
              </w:rPr>
              <w:t xml:space="preserve"> konferenču ziņojumu izdevumos, kas indeksēt</w:t>
            </w:r>
            <w:r>
              <w:rPr>
                <w:color w:val="000000"/>
                <w:sz w:val="21"/>
                <w:szCs w:val="21"/>
              </w:rPr>
              <w:t>as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Web of Science Conference Proceedings Citation Index </w:t>
            </w:r>
            <w:r w:rsidRPr="00A13561">
              <w:rPr>
                <w:color w:val="000000"/>
                <w:sz w:val="21"/>
                <w:szCs w:val="21"/>
              </w:rPr>
              <w:t>un/vai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Scopus</w:t>
            </w:r>
            <w:r w:rsidRPr="00812A3C">
              <w:rPr>
                <w:color w:val="000000"/>
                <w:sz w:val="21"/>
                <w:szCs w:val="21"/>
              </w:rPr>
              <w:t>,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>kā arī nodaļas zinātniskās grāmatās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(atbilstoši Zinātnisko publikāciju klasifikācijas 4. punkta 4.1. apakšpunktam)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031E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10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986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Nav attiecināms</w:t>
            </w:r>
          </w:p>
          <w:p w14:paraId="7B6BE210" w14:textId="77777777" w:rsidR="003C6292" w:rsidRPr="00A13561" w:rsidRDefault="003C6292" w:rsidP="00313C68">
            <w:pPr>
              <w:rPr>
                <w:sz w:val="21"/>
                <w:szCs w:val="21"/>
              </w:rPr>
            </w:pPr>
          </w:p>
        </w:tc>
      </w:tr>
      <w:tr w:rsidR="003C6292" w14:paraId="55603F2E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B119C" w14:textId="77777777" w:rsidR="003C6292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13561">
              <w:rPr>
                <w:color w:val="000000"/>
                <w:sz w:val="21"/>
                <w:szCs w:val="21"/>
              </w:rPr>
              <w:t xml:space="preserve">Publikācijas konferenču ziņojumu izdevumos, kas nav indeksēti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 Conference Proceedings Citation Index</w:t>
            </w:r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r>
              <w:rPr>
                <w:color w:val="000000"/>
                <w:sz w:val="21"/>
                <w:szCs w:val="21"/>
              </w:rPr>
              <w:t xml:space="preserve">, kā arī 1.6. kategorijai potenciāli atbilstošās publikācijas, kas pieteikuma iesniegšanas brīdī vēl nav tikušas indeksētas </w:t>
            </w:r>
            <w:r>
              <w:rPr>
                <w:color w:val="000000"/>
                <w:sz w:val="16"/>
                <w:szCs w:val="16"/>
              </w:rPr>
              <w:t>(atbilstoši Zinātnisko publikāciju klasifikācijas 4. punkta 4.3. apakšpunktam)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F7F31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5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F3565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4 punkti </w:t>
            </w:r>
          </w:p>
        </w:tc>
      </w:tr>
      <w:tr w:rsidR="003C6292" w14:paraId="4C16B3F2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4A4B2" w14:textId="77777777" w:rsidR="003C6292" w:rsidRPr="00A13561" w:rsidRDefault="003C6292" w:rsidP="003C6292">
            <w:pPr>
              <w:numPr>
                <w:ilvl w:val="1"/>
                <w:numId w:val="7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Recenzētas konferenču tēzes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F2A76" w14:textId="77777777" w:rsidR="003C6292" w:rsidRPr="00A13561" w:rsidRDefault="003C6292" w:rsidP="00313C68">
            <w:pPr>
              <w:spacing w:beforeLines="20" w:before="48" w:afterLines="20" w:after="48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0,5 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CDCFC" w14:textId="77777777" w:rsidR="003C6292" w:rsidRPr="00A13561" w:rsidRDefault="003C6292" w:rsidP="00313C68">
            <w:pPr>
              <w:rPr>
                <w:sz w:val="21"/>
                <w:szCs w:val="21"/>
              </w:rPr>
            </w:pPr>
          </w:p>
        </w:tc>
      </w:tr>
      <w:tr w:rsidR="003C6292" w14:paraId="530F545F" w14:textId="77777777" w:rsidTr="00313C68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22342" w14:textId="77777777" w:rsidR="003C6292" w:rsidRPr="00A13561" w:rsidRDefault="003C6292" w:rsidP="00313C68">
            <w:pPr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Patentu autors vai līdzautors:</w:t>
            </w:r>
          </w:p>
        </w:tc>
      </w:tr>
      <w:tr w:rsidR="003C6292" w14:paraId="08ED23E3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9F99" w14:textId="77777777" w:rsidR="003C6292" w:rsidRPr="00A13561" w:rsidRDefault="003C6292" w:rsidP="00313C68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LV patents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7751" w14:textId="77777777" w:rsidR="003C6292" w:rsidRPr="00A13561" w:rsidRDefault="003C6292" w:rsidP="00313C68">
            <w:pPr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10 punkti</w:t>
            </w:r>
          </w:p>
        </w:tc>
      </w:tr>
      <w:tr w:rsidR="003C6292" w14:paraId="65BB3DC6" w14:textId="77777777" w:rsidTr="00313C6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D8E" w14:textId="77777777" w:rsidR="003C6292" w:rsidRPr="00A13561" w:rsidRDefault="003C6292" w:rsidP="00313C68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Starptautisks patents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6C02" w14:textId="77777777" w:rsidR="003C6292" w:rsidRPr="00A13561" w:rsidRDefault="003C6292" w:rsidP="00313C68">
            <w:pPr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20 punkti</w:t>
            </w:r>
          </w:p>
        </w:tc>
      </w:tr>
    </w:tbl>
    <w:p w14:paraId="5786F63C" w14:textId="0BD8C578" w:rsidR="00526E5F" w:rsidRDefault="00526E5F" w:rsidP="00F2666C"/>
    <w:sectPr w:rsidR="00526E5F" w:rsidSect="008A48FE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EBE7" w14:textId="77777777" w:rsidR="00782E53" w:rsidRDefault="00782E53" w:rsidP="003C6292">
      <w:r>
        <w:separator/>
      </w:r>
    </w:p>
  </w:endnote>
  <w:endnote w:type="continuationSeparator" w:id="0">
    <w:p w14:paraId="200FC351" w14:textId="77777777" w:rsidR="00782E53" w:rsidRDefault="00782E53" w:rsidP="003C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8C08" w14:textId="77777777" w:rsidR="00AF65EA" w:rsidRDefault="0050553F" w:rsidP="00A23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FE4D8" w14:textId="77777777" w:rsidR="00AF65EA" w:rsidRDefault="00782E53" w:rsidP="00CE60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CBAC" w14:textId="77777777" w:rsidR="00AF65EA" w:rsidRDefault="005055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C047487" w14:textId="77777777" w:rsidR="00AF65EA" w:rsidRDefault="00782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BDED" w14:textId="77777777" w:rsidR="00782E53" w:rsidRDefault="00782E53" w:rsidP="003C6292">
      <w:r>
        <w:separator/>
      </w:r>
    </w:p>
  </w:footnote>
  <w:footnote w:type="continuationSeparator" w:id="0">
    <w:p w14:paraId="66F00BBD" w14:textId="77777777" w:rsidR="00782E53" w:rsidRDefault="00782E53" w:rsidP="003C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F7D51B9"/>
    <w:multiLevelType w:val="multilevel"/>
    <w:tmpl w:val="8BE07B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B08483F"/>
    <w:multiLevelType w:val="hybridMultilevel"/>
    <w:tmpl w:val="5D842852"/>
    <w:lvl w:ilvl="0" w:tplc="5A72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612"/>
    <w:multiLevelType w:val="multilevel"/>
    <w:tmpl w:val="58EA67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1074331"/>
    <w:multiLevelType w:val="multilevel"/>
    <w:tmpl w:val="4FBC63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1933E84"/>
    <w:multiLevelType w:val="multilevel"/>
    <w:tmpl w:val="89420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2A4875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EB8216C"/>
    <w:multiLevelType w:val="multilevel"/>
    <w:tmpl w:val="D8E43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5B9400E5"/>
    <w:multiLevelType w:val="multilevel"/>
    <w:tmpl w:val="EFDC7C8A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2"/>
    <w:rsid w:val="003C6292"/>
    <w:rsid w:val="0050553F"/>
    <w:rsid w:val="00526E5F"/>
    <w:rsid w:val="00782E53"/>
    <w:rsid w:val="00F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59A"/>
  <w15:chartTrackingRefBased/>
  <w15:docId w15:val="{3E72B002-575D-4DF4-AECA-56C945D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62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C6292"/>
  </w:style>
  <w:style w:type="paragraph" w:styleId="FootnoteText">
    <w:name w:val="footnote text"/>
    <w:basedOn w:val="Normal"/>
    <w:link w:val="FootnoteTextChar"/>
    <w:uiPriority w:val="99"/>
    <w:semiHidden/>
    <w:unhideWhenUsed/>
    <w:rsid w:val="003C6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2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3C6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2548</Words>
  <Characters>1453</Characters>
  <Application>Microsoft Office Word</Application>
  <DocSecurity>0</DocSecurity>
  <Lines>12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Māra Melngalve</cp:lastModifiedBy>
  <cp:revision>2</cp:revision>
  <dcterms:created xsi:type="dcterms:W3CDTF">2024-05-02T11:06:00Z</dcterms:created>
  <dcterms:modified xsi:type="dcterms:W3CDTF">2024-05-02T11:06:00Z</dcterms:modified>
</cp:coreProperties>
</file>