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233F9E" w:rsidRDefault="00064B7A" w:rsidP="00064B7A">
      <w:pPr>
        <w:ind w:right="-170"/>
        <w:jc w:val="center"/>
        <w:rPr>
          <w:rFonts w:ascii="Times New Roman" w:hAnsi="Times New Roman"/>
          <w:lang w:val="lv-LV"/>
        </w:rPr>
      </w:pPr>
      <w:r w:rsidRPr="00233F9E">
        <w:rPr>
          <w:rFonts w:ascii="Times New Roman" w:hAnsi="Times New Roman"/>
          <w:lang w:val="lv-LV"/>
        </w:rPr>
        <w:t xml:space="preserve">Iepirkuma procedūras </w:t>
      </w:r>
    </w:p>
    <w:p w:rsidR="00064B7A" w:rsidRPr="00233F9E" w:rsidRDefault="00064B7A" w:rsidP="00064B7A">
      <w:pPr>
        <w:jc w:val="center"/>
        <w:rPr>
          <w:rFonts w:ascii="Times New Roman" w:hAnsi="Times New Roman"/>
          <w:b/>
          <w:bCs/>
        </w:rPr>
      </w:pPr>
      <w:r w:rsidRPr="00233F9E">
        <w:rPr>
          <w:rFonts w:ascii="Times New Roman" w:hAnsi="Times New Roman"/>
          <w:b/>
          <w:bCs/>
        </w:rPr>
        <w:t>“</w:t>
      </w:r>
      <w:r w:rsidR="006C4E05" w:rsidRPr="006C4E05">
        <w:rPr>
          <w:rFonts w:ascii="Times New Roman" w:eastAsia="Times New Roman" w:hAnsi="Times New Roman"/>
          <w:b/>
          <w:bCs/>
          <w:lang w:val="lv-LV" w:eastAsia="lv-LV"/>
        </w:rPr>
        <w:t>Mēbeļu izgatavošana, piegāde un montāža RTU vajadzībām</w:t>
      </w:r>
      <w:r w:rsidRPr="00233F9E">
        <w:rPr>
          <w:rFonts w:ascii="Times New Roman" w:hAnsi="Times New Roman"/>
          <w:b/>
          <w:bCs/>
        </w:rPr>
        <w:t>”</w:t>
      </w:r>
    </w:p>
    <w:p w:rsidR="00064B7A" w:rsidRPr="00233F9E" w:rsidRDefault="00233F9E" w:rsidP="00064B7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(i</w:t>
      </w:r>
      <w:r w:rsidR="006C4E05">
        <w:rPr>
          <w:rFonts w:ascii="Times New Roman" w:hAnsi="Times New Roman"/>
          <w:lang w:val="lv-LV"/>
        </w:rPr>
        <w:t>dentifikācijas Nr. RTU – 2016/11</w:t>
      </w:r>
      <w:r w:rsidR="00064B7A" w:rsidRPr="00233F9E">
        <w:rPr>
          <w:rFonts w:ascii="Times New Roman" w:hAnsi="Times New Roman"/>
          <w:lang w:val="lv-LV"/>
        </w:rPr>
        <w:t>)</w:t>
      </w:r>
    </w:p>
    <w:p w:rsidR="00560FB6" w:rsidRPr="00233F9E" w:rsidRDefault="00064B7A" w:rsidP="00064B7A">
      <w:pPr>
        <w:jc w:val="center"/>
        <w:rPr>
          <w:rFonts w:ascii="Times New Roman" w:hAnsi="Times New Roman"/>
          <w:b/>
        </w:rPr>
      </w:pPr>
      <w:r w:rsidRPr="00233F9E">
        <w:rPr>
          <w:rFonts w:ascii="Times New Roman" w:hAnsi="Times New Roman"/>
          <w:b/>
        </w:rPr>
        <w:t>LĒMUMS</w:t>
      </w:r>
    </w:p>
    <w:p w:rsidR="00064B7A" w:rsidRPr="00233F9E" w:rsidRDefault="00064B7A" w:rsidP="00064B7A">
      <w:pPr>
        <w:rPr>
          <w:bCs/>
        </w:rPr>
      </w:pPr>
    </w:p>
    <w:p w:rsidR="00064B7A" w:rsidRPr="00233F9E" w:rsidRDefault="00233F9E" w:rsidP="00064B7A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Rīgā</w:t>
      </w:r>
      <w:proofErr w:type="spellEnd"/>
      <w:r>
        <w:rPr>
          <w:rFonts w:ascii="Times New Roman" w:hAnsi="Times New Roman"/>
          <w:bCs/>
        </w:rPr>
        <w:t>, 2016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33F9E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33F9E">
        <w:rPr>
          <w:rFonts w:ascii="Times New Roman" w:hAnsi="Times New Roman"/>
          <w:bCs/>
        </w:rPr>
        <w:t xml:space="preserve"> </w:t>
      </w:r>
      <w:r w:rsidR="00A826F5">
        <w:rPr>
          <w:rFonts w:ascii="Times New Roman" w:hAnsi="Times New Roman"/>
          <w:bCs/>
        </w:rPr>
        <w:t>9</w:t>
      </w:r>
      <w:r w:rsidR="00F758A1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F758A1">
        <w:rPr>
          <w:rFonts w:ascii="Times New Roman" w:hAnsi="Times New Roman"/>
          <w:bCs/>
        </w:rPr>
        <w:t>martā</w:t>
      </w:r>
      <w:proofErr w:type="spellEnd"/>
      <w:proofErr w:type="gramEnd"/>
    </w:p>
    <w:p w:rsidR="00064B7A" w:rsidRDefault="00064B7A"/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33F9E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priekšmets: 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Mēbeļu izgatavošana, piegāde un montāža RTU vajadzībām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233F9E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233F9E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233F9E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33F9E">
        <w:rPr>
          <w:rFonts w:ascii="Times New Roman" w:eastAsia="Times New Roman" w:hAnsi="Times New Roman"/>
          <w:b/>
          <w:bCs/>
          <w:lang w:val="en-GB"/>
        </w:rPr>
        <w:t>:</w:t>
      </w:r>
      <w:r w:rsidR="006C4E05">
        <w:rPr>
          <w:rFonts w:ascii="Times New Roman" w:eastAsia="Times New Roman" w:hAnsi="Times New Roman"/>
          <w:bCs/>
          <w:lang w:val="en-GB"/>
        </w:rPr>
        <w:t xml:space="preserve"> RTU – 2016/1</w:t>
      </w:r>
      <w:r w:rsidRPr="00233F9E">
        <w:rPr>
          <w:rFonts w:ascii="Times New Roman" w:eastAsia="Times New Roman" w:hAnsi="Times New Roman"/>
          <w:bCs/>
          <w:lang w:val="en-GB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233F9E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33F9E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6C4E05">
        <w:rPr>
          <w:rFonts w:ascii="Times New Roman" w:eastAsia="Times New Roman" w:hAnsi="Times New Roman"/>
          <w:bCs/>
          <w:lang w:val="lv-LV" w:eastAsia="lv-LV"/>
        </w:rPr>
        <w:t xml:space="preserve">18.01.2016. </w:t>
      </w:r>
      <w:r w:rsidRPr="00233F9E">
        <w:rPr>
          <w:rFonts w:ascii="Times New Roman" w:eastAsia="Times New Roman" w:hAnsi="Times New Roman"/>
          <w:bCs/>
          <w:lang w:val="lv-LV" w:eastAsia="lv-LV"/>
        </w:rPr>
        <w:t>Iepirkuma procedūra ir rīkota sask</w:t>
      </w:r>
      <w:r w:rsidR="006C4E05">
        <w:rPr>
          <w:rFonts w:ascii="Times New Roman" w:eastAsia="Times New Roman" w:hAnsi="Times New Roman"/>
          <w:bCs/>
          <w:lang w:val="lv-LV" w:eastAsia="lv-LV"/>
        </w:rPr>
        <w:t>aņā ar Publisko iepirkumu likuma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="006C4E05">
        <w:rPr>
          <w:rFonts w:ascii="Times New Roman" w:eastAsia="Times New Roman" w:hAnsi="Times New Roman"/>
          <w:bCs/>
          <w:lang w:val="lv-LV" w:eastAsia="lv-LV"/>
        </w:rPr>
        <w:t xml:space="preserve"> pantu.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</w:t>
      </w:r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2016. </w:t>
      </w:r>
      <w:proofErr w:type="spellStart"/>
      <w:proofErr w:type="gramStart"/>
      <w:r w:rsidR="006C4E05" w:rsidRPr="006C4E05">
        <w:rPr>
          <w:rFonts w:ascii="Times New Roman" w:eastAsia="Times New Roman" w:hAnsi="Times New Roman"/>
          <w:bCs/>
          <w:lang w:eastAsia="lv-LV"/>
        </w:rPr>
        <w:t>gada</w:t>
      </w:r>
      <w:proofErr w:type="spellEnd"/>
      <w:proofErr w:type="gramEnd"/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 14. </w:t>
      </w:r>
      <w:proofErr w:type="spellStart"/>
      <w:proofErr w:type="gramStart"/>
      <w:r w:rsidR="006C4E05" w:rsidRPr="006C4E05">
        <w:rPr>
          <w:rFonts w:ascii="Times New Roman" w:eastAsia="Times New Roman" w:hAnsi="Times New Roman"/>
          <w:bCs/>
          <w:lang w:eastAsia="lv-LV"/>
        </w:rPr>
        <w:t>janvāra</w:t>
      </w:r>
      <w:proofErr w:type="spellEnd"/>
      <w:proofErr w:type="gramEnd"/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6C4E05" w:rsidRPr="006C4E05">
        <w:rPr>
          <w:rFonts w:ascii="Times New Roman" w:eastAsia="Times New Roman" w:hAnsi="Times New Roman"/>
          <w:bCs/>
          <w:lang w:eastAsia="lv-LV"/>
        </w:rPr>
        <w:t>rīkojumu</w:t>
      </w:r>
      <w:proofErr w:type="spellEnd"/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6C4E05" w:rsidRPr="006C4E05">
        <w:rPr>
          <w:rFonts w:ascii="Times New Roman" w:eastAsia="Times New Roman" w:hAnsi="Times New Roman"/>
          <w:bCs/>
          <w:lang w:eastAsia="lv-LV"/>
        </w:rPr>
        <w:t>Nr</w:t>
      </w:r>
      <w:proofErr w:type="spellEnd"/>
      <w:r w:rsidR="006C4E05" w:rsidRPr="006C4E05">
        <w:rPr>
          <w:rFonts w:ascii="Times New Roman" w:eastAsia="Times New Roman" w:hAnsi="Times New Roman"/>
          <w:bCs/>
          <w:lang w:eastAsia="lv-LV"/>
        </w:rPr>
        <w:t>. 03000-1.2/6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6C4E05" w:rsidRPr="006C4E05">
        <w:rPr>
          <w:rFonts w:ascii="Times New Roman" w:eastAsia="Times New Roman" w:hAnsi="Times New Roman"/>
          <w:lang w:val="lv-LV" w:eastAsia="lv-LV"/>
        </w:rPr>
        <w:t>39100000-3 – Mēbeles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6C4E05" w:rsidRDefault="00233F9E" w:rsidP="00233F9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610"/>
        <w:gridCol w:w="580"/>
        <w:gridCol w:w="2552"/>
        <w:gridCol w:w="1843"/>
      </w:tblGrid>
      <w:tr w:rsidR="006C4E05" w:rsidRPr="006C4E05" w:rsidTr="00E8072D">
        <w:trPr>
          <w:trHeight w:val="510"/>
        </w:trPr>
        <w:tc>
          <w:tcPr>
            <w:tcW w:w="779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  <w:proofErr w:type="spellEnd"/>
          </w:p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Ieepirkuma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Piedāvātā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līgumcena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EUR, bez PVN</w:t>
            </w:r>
          </w:p>
        </w:tc>
      </w:tr>
      <w:tr w:rsidR="006C4E05" w:rsidRPr="006C4E05" w:rsidTr="00E8072D">
        <w:trPr>
          <w:trHeight w:val="169"/>
        </w:trPr>
        <w:tc>
          <w:tcPr>
            <w:tcW w:w="779" w:type="dxa"/>
            <w:vMerge w:val="restart"/>
          </w:tcPr>
          <w:p w:rsidR="006C4E05" w:rsidRPr="006C4E05" w:rsidRDefault="00F758A1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0" w:type="dxa"/>
            <w:vMerge w:val="restart"/>
          </w:tcPr>
          <w:p w:rsidR="006C4E05" w:rsidRPr="006C4E05" w:rsidRDefault="00F758A1" w:rsidP="006C4E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Mēbeļu</w:t>
            </w:r>
            <w:proofErr w:type="spellEnd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piegāde</w:t>
            </w:r>
            <w:proofErr w:type="spellEnd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dienesta</w:t>
            </w:r>
            <w:proofErr w:type="spellEnd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viesnīcu</w:t>
            </w:r>
            <w:proofErr w:type="spellEnd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konferenču</w:t>
            </w:r>
            <w:proofErr w:type="spellEnd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telpu</w:t>
            </w:r>
            <w:proofErr w:type="spellEnd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58A1">
              <w:rPr>
                <w:rFonts w:ascii="Times New Roman" w:eastAsia="Times New Roman" w:hAnsi="Times New Roman"/>
                <w:sz w:val="22"/>
                <w:szCs w:val="22"/>
              </w:rPr>
              <w:t>vajadzībām</w:t>
            </w:r>
            <w:proofErr w:type="spellEnd"/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4E05" w:rsidRPr="006C4E05" w:rsidRDefault="00F758A1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“Opus Wood”</w:t>
            </w:r>
          </w:p>
        </w:tc>
        <w:tc>
          <w:tcPr>
            <w:tcW w:w="1843" w:type="dxa"/>
            <w:shd w:val="clear" w:color="auto" w:fill="FFFFFF"/>
          </w:tcPr>
          <w:p w:rsidR="006C4E05" w:rsidRPr="006C4E05" w:rsidRDefault="00F758A1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8970,00</w:t>
            </w:r>
          </w:p>
        </w:tc>
      </w:tr>
      <w:tr w:rsidR="006C4E05" w:rsidRPr="006C4E05" w:rsidTr="00E8072D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4E05" w:rsidRPr="006C4E05" w:rsidRDefault="00F758A1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Vitrum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Sistēma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43" w:type="dxa"/>
            <w:shd w:val="clear" w:color="auto" w:fill="FFFFFF"/>
          </w:tcPr>
          <w:p w:rsidR="006C4E05" w:rsidRPr="006C4E05" w:rsidRDefault="00F758A1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9277,00</w:t>
            </w:r>
          </w:p>
        </w:tc>
      </w:tr>
      <w:tr w:rsidR="00F758A1" w:rsidRPr="006C4E05" w:rsidTr="00E8072D">
        <w:trPr>
          <w:trHeight w:val="217"/>
        </w:trPr>
        <w:tc>
          <w:tcPr>
            <w:tcW w:w="779" w:type="dxa"/>
            <w:vMerge/>
          </w:tcPr>
          <w:p w:rsidR="00F758A1" w:rsidRPr="006C4E05" w:rsidRDefault="00F758A1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F758A1" w:rsidRPr="006C4E05" w:rsidRDefault="00F758A1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F758A1" w:rsidRPr="006C4E05" w:rsidRDefault="00F758A1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8A1" w:rsidRPr="006C4E05" w:rsidRDefault="00F758A1" w:rsidP="00F758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SIA “</w:t>
            </w:r>
            <w:proofErr w:type="spellStart"/>
            <w:r w:rsidR="00E8072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Ideju</w:t>
            </w:r>
            <w:proofErr w:type="spellEnd"/>
            <w:r w:rsidR="00E8072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konstrukcija</w:t>
            </w:r>
            <w:proofErr w:type="spellEnd"/>
            <w:r w:rsidRPr="006C4E0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3" w:type="dxa"/>
            <w:shd w:val="clear" w:color="auto" w:fill="FFFFFF"/>
          </w:tcPr>
          <w:p w:rsidR="00F758A1" w:rsidRPr="006C4E05" w:rsidRDefault="00F758A1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5660,79</w:t>
            </w:r>
          </w:p>
        </w:tc>
      </w:tr>
    </w:tbl>
    <w:p w:rsidR="00233F9E" w:rsidRPr="00F758A1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atbilstība: 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>nav vērtēta</w:t>
      </w:r>
      <w:r w:rsidR="00E8072D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6C4E05" w:rsidRDefault="00233F9E" w:rsidP="006C4E0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C4E05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6C4E05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E8072D" w:rsidRPr="00E8072D" w:rsidRDefault="00233F9E" w:rsidP="00E8072D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10. </w:t>
      </w:r>
      <w:r w:rsidR="00F758A1">
        <w:rPr>
          <w:rFonts w:ascii="Times New Roman" w:eastAsia="Times New Roman" w:hAnsi="Times New Roman"/>
          <w:b/>
          <w:bCs/>
          <w:lang w:val="lv-LV" w:eastAsia="lv-LV"/>
        </w:rPr>
        <w:t>Lēmums</w:t>
      </w:r>
      <w:r w:rsidRPr="00233F9E">
        <w:rPr>
          <w:rFonts w:ascii="Times New Roman" w:eastAsia="Times New Roman" w:hAnsi="Times New Roman"/>
          <w:b/>
          <w:bCs/>
          <w:lang w:val="lv-LV" w:eastAsia="lv-LV"/>
        </w:rPr>
        <w:t>:</w:t>
      </w:r>
      <w:r w:rsidR="00F758A1">
        <w:rPr>
          <w:rFonts w:ascii="Times New Roman" w:eastAsia="Times New Roman" w:hAnsi="Times New Roman"/>
          <w:b/>
          <w:bCs/>
          <w:lang w:val="lv-LV" w:eastAsia="lv-LV"/>
        </w:rPr>
        <w:t xml:space="preserve"> 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>lai</w:t>
      </w:r>
      <w:r w:rsidR="00E8072D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>neradītu</w:t>
      </w:r>
      <w:r w:rsidR="00543EE4">
        <w:rPr>
          <w:rFonts w:ascii="Times New Roman" w:eastAsia="Times New Roman" w:hAnsi="Times New Roman"/>
          <w:bCs/>
          <w:lang w:val="lv-LV" w:eastAsia="lv-LV"/>
        </w:rPr>
        <w:t xml:space="preserve"> iepirkuma priekšmeta nepamatotas sadalīšanas risku, 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 xml:space="preserve"> pārtraukt iepirkuma procedūru iepirkuma daļā Nr.1 “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Mēbeļu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piegāde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dienesta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viesnīcu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konferenču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telpu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E8072D" w:rsidRPr="00E8072D">
        <w:rPr>
          <w:rFonts w:ascii="Times New Roman" w:eastAsia="Times New Roman" w:hAnsi="Times New Roman"/>
          <w:bCs/>
          <w:lang w:eastAsia="lv-LV"/>
        </w:rPr>
        <w:t>vajadzībām</w:t>
      </w:r>
      <w:proofErr w:type="spellEnd"/>
      <w:r w:rsidR="00E8072D" w:rsidRPr="00E8072D">
        <w:rPr>
          <w:rFonts w:ascii="Times New Roman" w:eastAsia="Times New Roman" w:hAnsi="Times New Roman"/>
          <w:bCs/>
          <w:lang w:eastAsia="lv-LV"/>
        </w:rPr>
        <w:t>”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>, pamatojoties uz Nolikuma 11.5. punktu, jo iepirkuma priekšmeta Tehniskajā specifikācijā ir nepiecie</w:t>
      </w:r>
      <w:r w:rsidR="00543EE4">
        <w:rPr>
          <w:rFonts w:ascii="Times New Roman" w:eastAsia="Times New Roman" w:hAnsi="Times New Roman"/>
          <w:bCs/>
          <w:lang w:val="lv-LV" w:eastAsia="lv-LV"/>
        </w:rPr>
        <w:t>šam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>s veikt grozījumus</w:t>
      </w:r>
      <w:r w:rsidR="00543EE4">
        <w:rPr>
          <w:rFonts w:ascii="Times New Roman" w:eastAsia="Times New Roman" w:hAnsi="Times New Roman"/>
          <w:bCs/>
          <w:lang w:val="lv-LV" w:eastAsia="lv-LV"/>
        </w:rPr>
        <w:t xml:space="preserve"> -</w:t>
      </w:r>
      <w:r w:rsidR="00E8072D">
        <w:rPr>
          <w:rFonts w:ascii="Times New Roman" w:eastAsia="Times New Roman" w:hAnsi="Times New Roman"/>
          <w:bCs/>
          <w:lang w:val="lv-LV" w:eastAsia="lv-LV"/>
        </w:rPr>
        <w:t xml:space="preserve"> jāpalielina izgatavojamo mēbeļu apjoms,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 xml:space="preserve"> pievienojot </w:t>
      </w:r>
      <w:r w:rsidR="00E8072D">
        <w:rPr>
          <w:rFonts w:ascii="Times New Roman" w:eastAsia="Times New Roman" w:hAnsi="Times New Roman"/>
          <w:bCs/>
          <w:lang w:val="lv-LV" w:eastAsia="lv-LV"/>
        </w:rPr>
        <w:t xml:space="preserve">vēl viena vestibila 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E8072D">
        <w:rPr>
          <w:rFonts w:ascii="Times New Roman" w:eastAsia="Times New Roman" w:hAnsi="Times New Roman"/>
          <w:bCs/>
          <w:lang w:val="lv-LV" w:eastAsia="lv-LV"/>
        </w:rPr>
        <w:t>mēbe</w:t>
      </w:r>
      <w:r w:rsidR="00543EE4">
        <w:rPr>
          <w:rFonts w:ascii="Times New Roman" w:eastAsia="Times New Roman" w:hAnsi="Times New Roman"/>
          <w:bCs/>
          <w:lang w:val="lv-LV" w:eastAsia="lv-LV"/>
        </w:rPr>
        <w:t>ļu komplektu</w:t>
      </w:r>
      <w:r w:rsidR="00E8072D" w:rsidRPr="00E8072D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11. Lēmuma pieņemšanas datums:</w:t>
      </w:r>
      <w:r w:rsidR="00A826F5">
        <w:rPr>
          <w:rFonts w:ascii="Times New Roman" w:eastAsia="Times New Roman" w:hAnsi="Times New Roman"/>
          <w:lang w:val="lv-LV" w:eastAsia="lv-LV"/>
        </w:rPr>
        <w:t xml:space="preserve"> 09</w:t>
      </w:r>
      <w:bookmarkStart w:id="0" w:name="_GoBack"/>
      <w:bookmarkEnd w:id="0"/>
      <w:r w:rsidR="00543EE4">
        <w:rPr>
          <w:rFonts w:ascii="Times New Roman" w:eastAsia="Times New Roman" w:hAnsi="Times New Roman"/>
          <w:lang w:val="lv-LV" w:eastAsia="lv-LV"/>
        </w:rPr>
        <w:t>.03</w:t>
      </w:r>
      <w:r w:rsidRPr="00233F9E">
        <w:rPr>
          <w:rFonts w:ascii="Times New Roman" w:eastAsia="Times New Roman" w:hAnsi="Times New Roman"/>
          <w:lang w:val="lv-LV" w:eastAsia="lv-LV"/>
        </w:rPr>
        <w:t>.2016.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12. Lēmuma pārsūdzēšana:</w:t>
      </w:r>
      <w:r w:rsidRPr="00233F9E">
        <w:rPr>
          <w:rFonts w:ascii="Times New Roman" w:eastAsia="Times New Roman" w:hAnsi="Times New Roman"/>
          <w:lang w:val="lv-LV" w:eastAsia="lv-LV"/>
        </w:rPr>
        <w:t xml:space="preserve"> </w:t>
      </w:r>
      <w:r w:rsidRPr="00233F9E">
        <w:rPr>
          <w:rFonts w:ascii="Times New Roman" w:eastAsia="Times New Roman" w:hAnsi="Times New Roman"/>
          <w:bCs/>
          <w:lang w:val="lv-LV" w:eastAsia="lv-LV"/>
        </w:rPr>
        <w:t>Pretendents, kas iesniedzis piedāvājumu iepirkumā, uz kuru attiecas Publisko iepirkumu likuma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 xml:space="preserve">2 </w:t>
      </w:r>
      <w:r w:rsidRPr="00233F9E">
        <w:rPr>
          <w:rFonts w:ascii="Times New Roman" w:eastAsia="Times New Roman" w:hAnsi="Times New Roman"/>
          <w:bCs/>
          <w:lang w:val="lv-LV" w:eastAsia="lv-LV"/>
        </w:rPr>
        <w:t>panta noteikumi, un kas uzskata, ka ir aizskartas tā tiesības vai ir iespējams šo tiesību aizskārums, saskaņā ar Publisko iepirkumu likuma 8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233F9E">
        <w:rPr>
          <w:rFonts w:ascii="Times New Roman" w:eastAsia="Times New Roman" w:hAnsi="Times New Roman"/>
          <w:bCs/>
          <w:lang w:val="lv-LV" w:eastAsia="lv-LV"/>
        </w:rPr>
        <w:t>. panta astoņpadsmito daļu Iepirkuma komisijas lēmumu var pārsūdzēt Administratīvajā</w:t>
      </w:r>
      <w:r w:rsidR="004726A4">
        <w:rPr>
          <w:rFonts w:ascii="Times New Roman" w:eastAsia="Times New Roman" w:hAnsi="Times New Roman"/>
          <w:bCs/>
          <w:lang w:val="lv-LV" w:eastAsia="lv-LV"/>
        </w:rPr>
        <w:t xml:space="preserve"> rajona tiesā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4726A4">
        <w:rPr>
          <w:rFonts w:ascii="Times New Roman" w:eastAsia="Times New Roman" w:hAnsi="Times New Roman"/>
          <w:bCs/>
          <w:lang w:val="lv-LV" w:eastAsia="lv-LV"/>
        </w:rPr>
        <w:t>saskaņā pēc teritoriālo piekritību</w:t>
      </w:r>
      <w:r w:rsidRPr="00233F9E">
        <w:rPr>
          <w:rFonts w:ascii="Times New Roman" w:eastAsia="Times New Roman" w:hAnsi="Times New Roman"/>
          <w:bCs/>
          <w:lang w:val="lv-LV" w:eastAsia="lv-LV"/>
        </w:rPr>
        <w:t>. Lēmuma pārsūdzēšana neaptur tā darbību.</w:t>
      </w:r>
    </w:p>
    <w:p w:rsidR="001D1422" w:rsidRDefault="001D1422" w:rsidP="001D1422"/>
    <w:p w:rsidR="00233F9E" w:rsidRPr="00233F9E" w:rsidRDefault="00233F9E" w:rsidP="001D1422">
      <w:pPr>
        <w:rPr>
          <w:rFonts w:ascii="Times New Roman" w:hAnsi="Times New Roman"/>
        </w:rPr>
      </w:pPr>
      <w:proofErr w:type="spellStart"/>
      <w:r w:rsidRPr="00233F9E">
        <w:rPr>
          <w:rFonts w:ascii="Times New Roman" w:hAnsi="Times New Roman"/>
        </w:rPr>
        <w:t>Komisijas</w:t>
      </w:r>
      <w:proofErr w:type="spellEnd"/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priekšsēdētājs</w:t>
      </w:r>
      <w:proofErr w:type="spellEnd"/>
      <w:r w:rsidRPr="00233F9E">
        <w:rPr>
          <w:rFonts w:ascii="Times New Roman" w:hAnsi="Times New Roman"/>
        </w:rPr>
        <w:t xml:space="preserve">                                                                               </w:t>
      </w:r>
      <w:proofErr w:type="spellStart"/>
      <w:r w:rsidRPr="00233F9E">
        <w:rPr>
          <w:rFonts w:ascii="Times New Roman" w:hAnsi="Times New Roman"/>
        </w:rPr>
        <w:t>J.Gramsts</w:t>
      </w:r>
      <w:proofErr w:type="spellEnd"/>
    </w:p>
    <w:p w:rsidR="00233F9E" w:rsidRDefault="00233F9E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Komisijas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locekļi</w:t>
      </w:r>
      <w:proofErr w:type="spellEnd"/>
      <w:r>
        <w:rPr>
          <w:rFonts w:ascii="Times New Roman" w:hAnsi="Times New Roman"/>
        </w:rPr>
        <w:t xml:space="preserve">: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A.Baldiņš</w:t>
      </w:r>
      <w:proofErr w:type="spellEnd"/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U.Mālmanis</w:t>
      </w:r>
      <w:proofErr w:type="spellEnd"/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1D1422" w:rsidRPr="00233F9E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J.Šuksta</w:t>
      </w:r>
      <w:proofErr w:type="spellEnd"/>
    </w:p>
    <w:sectPr w:rsidR="001D1422" w:rsidRPr="00233F9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31" w:rsidRDefault="00233431" w:rsidP="00ED375E">
      <w:r>
        <w:separator/>
      </w:r>
    </w:p>
  </w:endnote>
  <w:endnote w:type="continuationSeparator" w:id="0">
    <w:p w:rsidR="00233431" w:rsidRDefault="00233431" w:rsidP="00ED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75E" w:rsidRDefault="00ED3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75E" w:rsidRDefault="00ED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31" w:rsidRDefault="00233431" w:rsidP="00ED375E">
      <w:r>
        <w:separator/>
      </w:r>
    </w:p>
  </w:footnote>
  <w:footnote w:type="continuationSeparator" w:id="0">
    <w:p w:rsidR="00233431" w:rsidRDefault="00233431" w:rsidP="00ED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DE9"/>
    <w:multiLevelType w:val="hybridMultilevel"/>
    <w:tmpl w:val="C0A62476"/>
    <w:lvl w:ilvl="0" w:tplc="F9C465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1D1422"/>
    <w:rsid w:val="00233431"/>
    <w:rsid w:val="00233F9E"/>
    <w:rsid w:val="002A200E"/>
    <w:rsid w:val="00432D0B"/>
    <w:rsid w:val="004726A4"/>
    <w:rsid w:val="00543EE4"/>
    <w:rsid w:val="00560FB6"/>
    <w:rsid w:val="005C67F3"/>
    <w:rsid w:val="005F4D6F"/>
    <w:rsid w:val="006C4E05"/>
    <w:rsid w:val="007312C2"/>
    <w:rsid w:val="008843AF"/>
    <w:rsid w:val="00A826F5"/>
    <w:rsid w:val="00E8072D"/>
    <w:rsid w:val="00ED375E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A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5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5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2016-02-08T07:54:00Z</cp:lastPrinted>
  <dcterms:created xsi:type="dcterms:W3CDTF">2016-03-09T07:53:00Z</dcterms:created>
  <dcterms:modified xsi:type="dcterms:W3CDTF">2016-03-11T12:22:00Z</dcterms:modified>
</cp:coreProperties>
</file>