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F2" w:rsidRPr="002F2336" w:rsidRDefault="00E73EF2" w:rsidP="00E73EF2">
      <w:pPr>
        <w:ind w:right="29"/>
        <w:jc w:val="right"/>
        <w:rPr>
          <w:rFonts w:ascii="Times New Roman" w:hAnsi="Times New Roman" w:cs="Times New Roman"/>
          <w:sz w:val="22"/>
          <w:szCs w:val="22"/>
        </w:rPr>
      </w:pPr>
      <w:r w:rsidRPr="002F2336">
        <w:rPr>
          <w:rFonts w:ascii="Times New Roman" w:hAnsi="Times New Roman" w:cs="Times New Roman"/>
          <w:sz w:val="22"/>
          <w:szCs w:val="22"/>
        </w:rPr>
        <w:t>Iepirkuma</w:t>
      </w:r>
    </w:p>
    <w:p w:rsidR="00E73EF2" w:rsidRPr="002F2336" w:rsidRDefault="00E73EF2" w:rsidP="00E73EF2">
      <w:pPr>
        <w:ind w:left="4500" w:hanging="4500"/>
        <w:jc w:val="right"/>
        <w:rPr>
          <w:rFonts w:ascii="Times New Roman" w:hAnsi="Times New Roman" w:cs="Times New Roman"/>
          <w:sz w:val="22"/>
          <w:szCs w:val="22"/>
        </w:rPr>
      </w:pPr>
      <w:r w:rsidRPr="002F2336">
        <w:rPr>
          <w:rFonts w:ascii="Times New Roman" w:hAnsi="Times New Roman" w:cs="Times New Roman"/>
          <w:sz w:val="22"/>
          <w:szCs w:val="22"/>
        </w:rPr>
        <w:t>ID Nr.: RTU-201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F2336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44</w:t>
      </w:r>
      <w:r w:rsidRPr="002F2336">
        <w:rPr>
          <w:rFonts w:ascii="Times New Roman" w:hAnsi="Times New Roman" w:cs="Times New Roman"/>
          <w:sz w:val="22"/>
          <w:szCs w:val="22"/>
        </w:rPr>
        <w:t>,</w:t>
      </w:r>
    </w:p>
    <w:p w:rsidR="00E73EF2" w:rsidRPr="00681D81" w:rsidRDefault="00E73EF2" w:rsidP="00E73EF2">
      <w:pPr>
        <w:ind w:left="4500" w:hanging="4500"/>
        <w:jc w:val="right"/>
        <w:rPr>
          <w:rFonts w:ascii="Times New Roman" w:hAnsi="Times New Roman" w:cs="Times New Roman"/>
          <w:sz w:val="22"/>
          <w:szCs w:val="22"/>
        </w:rPr>
      </w:pPr>
      <w:r w:rsidRPr="00681D81">
        <w:rPr>
          <w:rFonts w:ascii="Times New Roman" w:hAnsi="Times New Roman" w:cs="Times New Roman"/>
          <w:sz w:val="22"/>
          <w:szCs w:val="22"/>
        </w:rPr>
        <w:t>Pielikums Nr.2</w:t>
      </w:r>
      <w:r>
        <w:rPr>
          <w:rFonts w:ascii="Times New Roman" w:hAnsi="Times New Roman" w:cs="Times New Roman"/>
          <w:sz w:val="22"/>
          <w:szCs w:val="22"/>
        </w:rPr>
        <w:t>.3.</w:t>
      </w:r>
    </w:p>
    <w:p w:rsidR="00E73EF2" w:rsidRPr="00681D81" w:rsidRDefault="00E73EF2" w:rsidP="00E73EF2">
      <w:pPr>
        <w:jc w:val="center"/>
        <w:rPr>
          <w:rFonts w:ascii="Times New Roman" w:hAnsi="Times New Roman" w:cs="Times New Roman"/>
          <w:b/>
          <w:color w:val="000000"/>
        </w:rPr>
      </w:pPr>
      <w:r w:rsidRPr="00681D81">
        <w:rPr>
          <w:rFonts w:ascii="Times New Roman" w:hAnsi="Times New Roman" w:cs="Times New Roman"/>
          <w:b/>
          <w:color w:val="000000"/>
        </w:rPr>
        <w:t>TEHNISKĀ SPECIFIKĀCIJA</w:t>
      </w:r>
    </w:p>
    <w:p w:rsidR="00E73EF2" w:rsidRPr="00681D81" w:rsidRDefault="00E73EF2" w:rsidP="00E73EF2">
      <w:pPr>
        <w:jc w:val="center"/>
        <w:rPr>
          <w:rFonts w:ascii="Times New Roman" w:hAnsi="Times New Roman" w:cs="Times New Roman"/>
          <w:b/>
          <w:color w:val="000000"/>
        </w:rPr>
      </w:pPr>
    </w:p>
    <w:p w:rsidR="00E73EF2" w:rsidRPr="00681D81" w:rsidRDefault="00E73EF2" w:rsidP="00E73EF2">
      <w:pPr>
        <w:jc w:val="center"/>
        <w:rPr>
          <w:rFonts w:ascii="Times New Roman" w:hAnsi="Times New Roman" w:cs="Times New Roman"/>
          <w:b/>
          <w:caps/>
          <w:color w:val="000000"/>
        </w:rPr>
      </w:pPr>
      <w:r w:rsidRPr="00681D81">
        <w:rPr>
          <w:rFonts w:ascii="Times New Roman" w:hAnsi="Times New Roman" w:cs="Times New Roman"/>
          <w:b/>
          <w:caps/>
          <w:color w:val="000000"/>
        </w:rPr>
        <w:t>Tehniskais un finanšu piedāvājums (forma)</w:t>
      </w:r>
    </w:p>
    <w:p w:rsidR="00E73EF2" w:rsidRPr="00681D81" w:rsidRDefault="00E73EF2" w:rsidP="00E73EF2">
      <w:pPr>
        <w:jc w:val="center"/>
        <w:rPr>
          <w:rFonts w:ascii="Times New Roman" w:hAnsi="Times New Roman" w:cs="Times New Roman"/>
          <w:b/>
          <w:bCs/>
        </w:rPr>
      </w:pPr>
      <w:r w:rsidRPr="00681D81">
        <w:rPr>
          <w:rFonts w:ascii="Times New Roman" w:hAnsi="Times New Roman" w:cs="Times New Roman"/>
          <w:b/>
          <w:bCs/>
        </w:rPr>
        <w:t xml:space="preserve">Atklātam konkursam </w:t>
      </w:r>
    </w:p>
    <w:p w:rsidR="00E73EF2" w:rsidRDefault="00E73EF2" w:rsidP="00E73EF2">
      <w:pPr>
        <w:jc w:val="center"/>
        <w:rPr>
          <w:rFonts w:ascii="Times New Roman" w:hAnsi="Times New Roman" w:cs="Times New Roman"/>
          <w:b/>
          <w:bCs/>
        </w:rPr>
      </w:pPr>
      <w:r w:rsidRPr="00681D81">
        <w:rPr>
          <w:rFonts w:ascii="Times New Roman" w:hAnsi="Times New Roman" w:cs="Times New Roman"/>
          <w:b/>
          <w:bCs/>
        </w:rPr>
        <w:t>„</w:t>
      </w:r>
      <w:r w:rsidRPr="00681D81">
        <w:rPr>
          <w:rFonts w:ascii="Times New Roman" w:hAnsi="Times New Roman" w:cs="Times New Roman"/>
          <w:b/>
          <w:bCs/>
          <w:color w:val="000000"/>
        </w:rPr>
        <w:t>Tehnisko gāzu un šķidrā slāpekļa iegāde RTU vajadzībām</w:t>
      </w:r>
      <w:r w:rsidRPr="00681D81">
        <w:rPr>
          <w:rFonts w:ascii="Times New Roman" w:hAnsi="Times New Roman" w:cs="Times New Roman"/>
          <w:b/>
          <w:bCs/>
        </w:rPr>
        <w:t>”</w:t>
      </w:r>
    </w:p>
    <w:p w:rsidR="00E73EF2" w:rsidRDefault="00E73EF2" w:rsidP="00E73EF2">
      <w:pPr>
        <w:jc w:val="center"/>
        <w:rPr>
          <w:rFonts w:ascii="Times New Roman" w:hAnsi="Times New Roman" w:cs="Times New Roman"/>
          <w:b/>
          <w:szCs w:val="36"/>
        </w:rPr>
      </w:pPr>
    </w:p>
    <w:p w:rsidR="00E73EF2" w:rsidRPr="00681D81" w:rsidRDefault="00E73EF2" w:rsidP="00E73EF2">
      <w:pPr>
        <w:rPr>
          <w:rFonts w:ascii="Times New Roman" w:hAnsi="Times New Roman" w:cs="Times New Roman"/>
          <w:b/>
          <w:szCs w:val="36"/>
        </w:rPr>
      </w:pPr>
      <w:r w:rsidRPr="00681D81">
        <w:rPr>
          <w:rFonts w:ascii="Times New Roman" w:hAnsi="Times New Roman" w:cs="Times New Roman"/>
          <w:b/>
          <w:szCs w:val="36"/>
        </w:rPr>
        <w:t>3. Daļa. Aukstumnesēji</w:t>
      </w:r>
    </w:p>
    <w:tbl>
      <w:tblPr>
        <w:tblStyle w:val="TableGrid"/>
        <w:tblW w:w="4730" w:type="pct"/>
        <w:tblLook w:val="04A0" w:firstRow="1" w:lastRow="0" w:firstColumn="1" w:lastColumn="0" w:noHBand="0" w:noVBand="1"/>
      </w:tblPr>
      <w:tblGrid>
        <w:gridCol w:w="785"/>
        <w:gridCol w:w="1355"/>
        <w:gridCol w:w="2845"/>
        <w:gridCol w:w="1928"/>
        <w:gridCol w:w="2196"/>
      </w:tblGrid>
      <w:tr w:rsidR="00E73EF2" w:rsidRPr="00D517A8" w:rsidTr="00DE56F6"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b/>
                <w:sz w:val="22"/>
                <w:szCs w:val="22"/>
              </w:rPr>
              <w:t>N.p.k.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b/>
                <w:sz w:val="22"/>
                <w:szCs w:val="22"/>
              </w:rPr>
              <w:t>Nosaukums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b/>
                <w:sz w:val="22"/>
                <w:szCs w:val="22"/>
              </w:rPr>
              <w:t>Specifikācija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b/>
                <w:sz w:val="22"/>
                <w:szCs w:val="22"/>
              </w:rPr>
              <w:t>Vienība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b/>
                <w:sz w:val="22"/>
                <w:szCs w:val="22"/>
              </w:rPr>
              <w:t>Vienības cena bez PVN, EUR</w:t>
            </w:r>
          </w:p>
        </w:tc>
      </w:tr>
      <w:tr w:rsidR="00E73EF2" w:rsidRPr="00D517A8" w:rsidTr="00DE56F6"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Šķidrais slāpeklis ar piegādi un kriocilindra nomu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Slāpekļa (N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saturs ≥ 99,999%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Skābekļa (O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saturs &lt; 10ppm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Ūdens (H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O) saturs &lt; 5 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Oglekļa dioksīda (CO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saturs  &lt;200 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lv-LV"/>
              </w:rPr>
              <w:t>Piegādājamās tvertnes (kriocilindra) ārējais platums: mazāks par 68 cm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Kriocilindra materiāls nav magnētisks. Kriocilindra uzbūve nodrošina iespēju 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sašķidrināto gāzi pārspiest citā rezervuārā bez saskares ar atmosfēru. Kriocilindrs papildus ir aprīkots ar drošības vārstu un gāzveida N</w:t>
            </w:r>
            <w:r w:rsidRPr="004D44F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 padeves ventili; tam ir riteņi ērtai pārvadāšanai.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Piegādes režīms: vismaz 65 litri nedēļā.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Cenā jāiekļauj kriocilindru noma un piegāde.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1 litrs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D517A8" w:rsidTr="00DE56F6"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Šķidrais slāpeklis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Ar piegādi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Slāpeklis (N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≥ 99,999%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Skābeklis (O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&lt;10ppm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Ūdens saturs (H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O) &lt;5 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Oglekļa dioksīds (CO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 &lt;200 ppm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Šķidrais slāpeklis pēc pieprasījuma tiek piegādāts Djuāra traukos ar tilpumu 20-35 litri. 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Cenā jāiekļauj Djuāru noma un piegāde.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1 litrs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D517A8" w:rsidTr="00DE56F6"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Šķidrais slāpeklis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Ar piegādi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Slāpeklis (N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≥ 99,999%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Skābeklis (O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&lt;10ppm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Ūdens saturs (H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O) &lt;5 ppm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Oglekļa dioksīds (CO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)  &lt;200 ppm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Šķidrais slāpeklis pēc pieprasījuma tiek piegādāts 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lastRenderedPageBreak/>
              <w:t xml:space="preserve">Djuāra traukos ar tilpumu 10-15 litri uz norādīto adresi. 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Cenā jāiekļauj piegāde izmantojot pasūtītāja Djuāra traukus, kuri piegādes laikā tiek apmainīti.</w:t>
            </w: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litrs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D517A8" w:rsidTr="00DE56F6"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Šķidrais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hēlijs </w:t>
            </w:r>
            <w:r w:rsidRPr="004D44F8">
              <w:rPr>
                <w:rFonts w:ascii="Times New Roman" w:eastAsia="Times New Roman" w:hAnsi="Times New Roman" w:cs="Times New Roman"/>
                <w:sz w:val="22"/>
                <w:szCs w:val="22"/>
                <w:lang w:eastAsia="lv-LV"/>
              </w:rPr>
              <w:t>ar piegādi un kriocilindra nomu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Hēlija (He) saturs ≥ 99,99%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Ūdens (H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eastAsia="lv-LV"/>
              </w:rPr>
              <w:t>2</w:t>
            </w: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O) saturs &lt;5 ppm 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Kriocilindra atveres diametrs ar atbilstošiem blīvslēgiem pārvades caurules iestiprināšanai: atbilst 3/8 collas pārvades caurulei.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lv-LV"/>
              </w:rPr>
              <w:t>Piegādājamās tvertnes (kriocilindra) ārējais platums: mazāks par 68 cm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 xml:space="preserve">Kriocilindra materiāls nav magnētisks. Kriocilindra uzbūve nodrošina iespēju 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sašķidrināto gāzi pārspiest citā rezervuārā bez saskares ar atmosfēru. Kriocilindram ir riteņi ērtai pārvadāšanai.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Piegādes režīms: pēc pieprasījuma vismaz 50 litri vienā piegādē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Piegāde tiek veikta ne vēlāk kā 4 nedēļu laikā no pasūtījuma saņemšanas dienas.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Cenā jāiekļauj kriocilindru noma un piegāde.</w:t>
            </w:r>
          </w:p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</w:pPr>
            <w:r w:rsidRPr="004D44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lv-LV"/>
              </w:rPr>
              <w:t>1 Litrs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D517A8" w:rsidTr="00DE56F6">
        <w:trPr>
          <w:trHeight w:val="2781"/>
        </w:trPr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Sausais ledus, tehn.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Ar piegādi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Sausais ledus (CO</w:t>
            </w:r>
            <w:r w:rsidRPr="004D44F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) ar piegādi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Viena piegāde: ne mazāk kā 10 kg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Granulēts, ar granulu diametru starp 10 mm un 17 mm.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Paredzēts pildīšanai Pasūtītāja traukos.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1 kg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D517A8" w:rsidTr="00DE56F6">
        <w:tc>
          <w:tcPr>
            <w:tcW w:w="423" w:type="pct"/>
            <w:shd w:val="clear" w:color="auto" w:fill="auto"/>
          </w:tcPr>
          <w:p w:rsidR="00E73EF2" w:rsidRPr="004D44F8" w:rsidRDefault="00E73EF2" w:rsidP="00DE56F6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46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Sausais ledus, tehn.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Bez piegādes</w:t>
            </w:r>
          </w:p>
        </w:tc>
        <w:tc>
          <w:tcPr>
            <w:tcW w:w="1564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Sausais ledus (CO</w:t>
            </w:r>
            <w:r w:rsidRPr="004D44F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 xml:space="preserve">Granulēts, ar granulu diametru starp 10 mm un 17 mm. 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Paredzēts pildīšanai Pasūtītāja traukos.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Pasūtītājs saņems preci, pats ierodoties pēc tās Piegādātāja noliktavā.</w:t>
            </w:r>
            <w:bookmarkStart w:id="0" w:name="_GoBack"/>
            <w:bookmarkEnd w:id="0"/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1 kg</w:t>
            </w:r>
          </w:p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4B3170" w:rsidTr="00DE56F6">
        <w:tc>
          <w:tcPr>
            <w:tcW w:w="3793" w:type="pct"/>
            <w:gridSpan w:val="4"/>
            <w:shd w:val="clear" w:color="auto" w:fill="auto"/>
          </w:tcPr>
          <w:p w:rsidR="00E73EF2" w:rsidRPr="004D44F8" w:rsidRDefault="00E73EF2" w:rsidP="00DE56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Cena kopā EUR bez PVN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4B3170" w:rsidTr="00DE56F6">
        <w:tc>
          <w:tcPr>
            <w:tcW w:w="3793" w:type="pct"/>
            <w:gridSpan w:val="4"/>
            <w:shd w:val="clear" w:color="auto" w:fill="auto"/>
          </w:tcPr>
          <w:p w:rsidR="00E73EF2" w:rsidRPr="004D44F8" w:rsidRDefault="00E73EF2" w:rsidP="00DE56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t>PVN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F2" w:rsidRPr="004B3170" w:rsidTr="00DE56F6">
        <w:tc>
          <w:tcPr>
            <w:tcW w:w="3793" w:type="pct"/>
            <w:gridSpan w:val="4"/>
            <w:shd w:val="clear" w:color="auto" w:fill="auto"/>
          </w:tcPr>
          <w:p w:rsidR="00E73EF2" w:rsidRPr="004D44F8" w:rsidRDefault="00E73EF2" w:rsidP="00DE56F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4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Cena kopā EUR ar PVN</w:t>
            </w:r>
          </w:p>
        </w:tc>
        <w:tc>
          <w:tcPr>
            <w:tcW w:w="1207" w:type="pct"/>
          </w:tcPr>
          <w:p w:rsidR="00E73EF2" w:rsidRPr="004D44F8" w:rsidRDefault="00E73EF2" w:rsidP="00DE5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3EF2" w:rsidRPr="003F0351" w:rsidRDefault="00E73EF2" w:rsidP="00E73EF2">
      <w:pPr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b/>
          <w:sz w:val="24"/>
        </w:rPr>
        <w:t>Piegādes adreses</w:t>
      </w:r>
      <w:r w:rsidRPr="003F0351">
        <w:rPr>
          <w:rFonts w:ascii="Times New Roman" w:hAnsi="Times New Roman" w:cs="Times New Roman"/>
          <w:sz w:val="24"/>
        </w:rPr>
        <w:t>:</w:t>
      </w:r>
    </w:p>
    <w:p w:rsidR="00E73EF2" w:rsidRPr="00F85A6B" w:rsidRDefault="00E73EF2" w:rsidP="00E73E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lang w:eastAsia="lv-LV"/>
        </w:rPr>
      </w:pPr>
      <w:r w:rsidRPr="00F85A6B">
        <w:rPr>
          <w:rFonts w:ascii="Times New Roman" w:hAnsi="Times New Roman" w:cs="Times New Roman"/>
          <w:sz w:val="24"/>
          <w:lang w:eastAsia="lv-LV"/>
        </w:rPr>
        <w:t>Pulka iela 3/3, Rīga</w:t>
      </w:r>
      <w:r>
        <w:rPr>
          <w:rFonts w:ascii="Times New Roman" w:hAnsi="Times New Roman" w:cs="Times New Roman"/>
          <w:sz w:val="24"/>
          <w:lang w:eastAsia="lv-LV"/>
        </w:rPr>
        <w:t>;</w:t>
      </w:r>
    </w:p>
    <w:p w:rsidR="00E73EF2" w:rsidRPr="003F0351" w:rsidRDefault="00E73EF2" w:rsidP="00E73E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  <w:lang w:eastAsia="lv-LV"/>
        </w:rPr>
        <w:t>Paula Valdena iela 3</w:t>
      </w:r>
      <w:r>
        <w:rPr>
          <w:rFonts w:ascii="Times New Roman" w:hAnsi="Times New Roman" w:cs="Times New Roman"/>
          <w:sz w:val="24"/>
          <w:lang w:eastAsia="lv-LV"/>
        </w:rPr>
        <w:t>/7, Rīga;</w:t>
      </w:r>
    </w:p>
    <w:p w:rsidR="00E73EF2" w:rsidRPr="003F0351" w:rsidRDefault="00E73EF2" w:rsidP="00E73E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</w:rPr>
        <w:t>Kronvalda bulvāris 1, Rīga;</w:t>
      </w:r>
    </w:p>
    <w:p w:rsidR="00E73EF2" w:rsidRPr="003F0351" w:rsidRDefault="00E73EF2" w:rsidP="00E73E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3F0351">
        <w:rPr>
          <w:rFonts w:ascii="Times New Roman" w:hAnsi="Times New Roman" w:cs="Times New Roman"/>
          <w:sz w:val="24"/>
        </w:rPr>
        <w:t>Āzenes iela 12/1, Rīga</w:t>
      </w:r>
      <w:r>
        <w:rPr>
          <w:rFonts w:ascii="Times New Roman" w:hAnsi="Times New Roman" w:cs="Times New Roman"/>
          <w:sz w:val="24"/>
        </w:rPr>
        <w:t>;</w:t>
      </w:r>
    </w:p>
    <w:p w:rsidR="00E73EF2" w:rsidRDefault="00E73EF2" w:rsidP="00E73E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CB3A7A">
        <w:rPr>
          <w:rFonts w:ascii="Times New Roman" w:hAnsi="Times New Roman" w:cs="Times New Roman"/>
          <w:sz w:val="24"/>
        </w:rPr>
        <w:t>Ezermalas iela 6, Rīga</w:t>
      </w:r>
      <w:r>
        <w:rPr>
          <w:rFonts w:ascii="Times New Roman" w:hAnsi="Times New Roman" w:cs="Times New Roman"/>
          <w:sz w:val="24"/>
        </w:rPr>
        <w:t>;</w:t>
      </w:r>
    </w:p>
    <w:p w:rsidR="00E73EF2" w:rsidRPr="0092760D" w:rsidRDefault="00E73EF2" w:rsidP="00E73EF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Ķīpsalas 6a, Rīga.</w:t>
      </w:r>
    </w:p>
    <w:p w:rsidR="00E73EF2" w:rsidRPr="003F0351" w:rsidRDefault="00E73EF2" w:rsidP="00E73EF2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CB3A7A">
        <w:rPr>
          <w:rFonts w:ascii="Times New Roman" w:eastAsia="Times New Roman" w:hAnsi="Times New Roman" w:cs="Times New Roman"/>
          <w:b/>
          <w:sz w:val="24"/>
          <w:lang w:eastAsia="lv-LV"/>
        </w:rPr>
        <w:t>Piegādes nosacījumi</w:t>
      </w:r>
      <w:r w:rsidRPr="00CB3A7A">
        <w:rPr>
          <w:rFonts w:ascii="Times New Roman" w:eastAsia="Times New Roman" w:hAnsi="Times New Roman" w:cs="Times New Roman"/>
          <w:sz w:val="24"/>
          <w:lang w:eastAsia="lv-LV"/>
        </w:rPr>
        <w:t xml:space="preserve">: </w:t>
      </w:r>
      <w:r w:rsidRPr="009E7A97">
        <w:rPr>
          <w:rFonts w:ascii="Times New Roman" w:eastAsia="Times New Roman" w:hAnsi="Times New Roman" w:cs="Times New Roman"/>
          <w:kern w:val="0"/>
          <w:sz w:val="24"/>
          <w:lang w:eastAsia="lv-LV"/>
        </w:rPr>
        <w:t>p</w:t>
      </w:r>
      <w:r w:rsidRPr="00077308"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reču piegādi jāveic </w:t>
      </w:r>
      <w:r>
        <w:rPr>
          <w:rFonts w:ascii="Times New Roman" w:eastAsia="Times New Roman" w:hAnsi="Times New Roman" w:cs="Times New Roman"/>
          <w:kern w:val="0"/>
          <w:sz w:val="24"/>
          <w:lang w:eastAsia="lv-LV"/>
        </w:rPr>
        <w:t>nākošās</w:t>
      </w:r>
      <w:r w:rsidRPr="00077308"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lv-LV"/>
        </w:rPr>
        <w:t>darba dienas</w:t>
      </w:r>
      <w:r w:rsidRPr="00077308"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 laikā no pasūtījuma saņemšanas dienas, iepriekš saskaņojot piegādes laiku ar Pasūtītāju</w:t>
      </w:r>
      <w:r>
        <w:rPr>
          <w:rFonts w:ascii="Times New Roman" w:eastAsia="Times New Roman" w:hAnsi="Times New Roman" w:cs="Times New Roman"/>
          <w:kern w:val="0"/>
          <w:sz w:val="24"/>
          <w:lang w:eastAsia="lv-LV"/>
        </w:rPr>
        <w:t>, izņemot Konkursa 3.daļas Tehniskās specifikācijas</w:t>
      </w:r>
      <w:r w:rsidRPr="00E05518"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 (nolikuma 2.</w:t>
      </w:r>
      <w:r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3. </w:t>
      </w:r>
      <w:r w:rsidRPr="00E05518">
        <w:rPr>
          <w:rFonts w:ascii="Times New Roman" w:eastAsia="Times New Roman" w:hAnsi="Times New Roman" w:cs="Times New Roman"/>
          <w:kern w:val="0"/>
          <w:sz w:val="24"/>
          <w:lang w:eastAsia="lv-LV"/>
        </w:rPr>
        <w:t>pielikums)</w:t>
      </w:r>
      <w:r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 pozīcijā Nr.4 norādītajām Precēm, kur piegādes laiks ir </w:t>
      </w:r>
      <w:r w:rsidRPr="00E05518">
        <w:rPr>
          <w:rFonts w:ascii="Times New Roman" w:eastAsia="Times New Roman" w:hAnsi="Times New Roman" w:cs="Times New Roman"/>
          <w:kern w:val="0"/>
          <w:sz w:val="24"/>
          <w:lang w:eastAsia="lv-LV"/>
        </w:rPr>
        <w:t xml:space="preserve">ne vēlāk kā 4 nedēļu laikā kopš pasūtījuma </w:t>
      </w:r>
      <w:r>
        <w:rPr>
          <w:rFonts w:ascii="Times New Roman" w:eastAsia="Times New Roman" w:hAnsi="Times New Roman" w:cs="Times New Roman"/>
          <w:kern w:val="0"/>
          <w:sz w:val="24"/>
          <w:lang w:eastAsia="lv-LV"/>
        </w:rPr>
        <w:t>saņemšanas dienas.</w:t>
      </w:r>
    </w:p>
    <w:p w:rsidR="00E73EF2" w:rsidRPr="005834F4" w:rsidRDefault="00E73EF2" w:rsidP="00E73EF2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>Cenā jāiekļauj tvertņu un balonu noma, un piegāde.</w:t>
      </w:r>
    </w:p>
    <w:p w:rsidR="00E73EF2" w:rsidRPr="005834F4" w:rsidRDefault="00E73EF2" w:rsidP="00E73EF2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 xml:space="preserve">Preču piegādi un izkraušanu pretendents veic Pasūtītāja telpās Pasūtītāja atbildīgās personas klātbūtnē. </w:t>
      </w:r>
    </w:p>
    <w:p w:rsidR="00E73EF2" w:rsidRPr="005834F4" w:rsidRDefault="00E73EF2" w:rsidP="00E73EF2">
      <w:pPr>
        <w:rPr>
          <w:rFonts w:ascii="Times New Roman" w:eastAsia="Times New Roman" w:hAnsi="Times New Roman" w:cs="Times New Roman"/>
          <w:sz w:val="24"/>
          <w:lang w:eastAsia="lv-LV"/>
        </w:rPr>
      </w:pPr>
      <w:r w:rsidRPr="005834F4">
        <w:rPr>
          <w:rFonts w:ascii="Times New Roman" w:eastAsia="Times New Roman" w:hAnsi="Times New Roman" w:cs="Times New Roman"/>
          <w:sz w:val="24"/>
          <w:lang w:eastAsia="lv-LV"/>
        </w:rPr>
        <w:t>Pasūtītājam ir tiesības Preci pasūtīt pa daļām pēc vajadzības.</w:t>
      </w:r>
    </w:p>
    <w:p w:rsidR="00E73EF2" w:rsidRPr="005834F4" w:rsidRDefault="00E73EF2" w:rsidP="00E73EF2">
      <w:pPr>
        <w:rPr>
          <w:rFonts w:ascii="Times New Roman" w:eastAsia="MS Mincho" w:hAnsi="Times New Roman" w:cs="Times New Roman"/>
          <w:sz w:val="24"/>
          <w:u w:val="single"/>
        </w:rPr>
      </w:pPr>
      <w:r w:rsidRPr="005834F4">
        <w:rPr>
          <w:rFonts w:ascii="Times New Roman" w:eastAsia="MS Mincho" w:hAnsi="Times New Roman" w:cs="Times New Roman"/>
          <w:sz w:val="24"/>
          <w:u w:val="single"/>
        </w:rPr>
        <w:t>Pretendentam jāpiedāvā tehniskajā specifikācijās visas norādītās pozīcijas, gadījumā, ja pretendents nepiedāvā kādu pozīciju, pretendenta piedāvājums tiks noraidīts</w:t>
      </w:r>
      <w:r>
        <w:rPr>
          <w:rFonts w:ascii="Times New Roman" w:eastAsia="MS Mincho" w:hAnsi="Times New Roman" w:cs="Times New Roman"/>
          <w:sz w:val="24"/>
          <w:u w:val="single"/>
        </w:rPr>
        <w:t>.</w:t>
      </w:r>
    </w:p>
    <w:p w:rsidR="00E73EF2" w:rsidRPr="00AD475E" w:rsidRDefault="00E73EF2" w:rsidP="00E73EF2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piedāvāto preču garantijas termiņš, nav mazāks par 10 (desmit) mēnešiem no preču piegādes brīža.</w:t>
      </w:r>
    </w:p>
    <w:p w:rsidR="00E73EF2" w:rsidRPr="00AD475E" w:rsidRDefault="00E73EF2" w:rsidP="00E73EF2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apņemies ne vēlāk kā 2 (divu) darba dienu laikā apmainīt nekvalitatīvās Preces pret kvalitatīvām, ja Pasūtītājs konstatēs kādus defektus vai neatbilstību kvalitātes prasībām.</w:t>
      </w:r>
    </w:p>
    <w:p w:rsidR="00E73EF2" w:rsidRPr="00AD475E" w:rsidRDefault="00E73EF2" w:rsidP="00E73EF2">
      <w:pPr>
        <w:spacing w:before="120"/>
        <w:jc w:val="both"/>
        <w:rPr>
          <w:rFonts w:ascii="Times New Roman" w:hAnsi="Times New Roman" w:cs="Times New Roman"/>
          <w:sz w:val="24"/>
          <w:u w:val="single"/>
        </w:rPr>
      </w:pPr>
      <w:r w:rsidRPr="00AD475E">
        <w:rPr>
          <w:rFonts w:ascii="Times New Roman" w:hAnsi="Times New Roman" w:cs="Times New Roman"/>
          <w:sz w:val="24"/>
          <w:u w:val="single"/>
        </w:rPr>
        <w:t xml:space="preserve"> - Apliecinām, ka apņemies piegādāt preci nevainojamā kvalitātē ne vēlāk kā 2 (divu) darba dienu laikā no pasūtījuma saņemšanas brīža.</w:t>
      </w:r>
    </w:p>
    <w:p w:rsidR="00E73EF2" w:rsidRDefault="00E73EF2" w:rsidP="00E73EF2">
      <w:pPr>
        <w:rPr>
          <w:rFonts w:ascii="Times New Roman" w:eastAsia="Times New Roman" w:hAnsi="Times New Roman" w:cs="Times New Roman"/>
          <w:sz w:val="24"/>
          <w:lang w:eastAsia="lv-LV"/>
        </w:rPr>
      </w:pPr>
    </w:p>
    <w:p w:rsidR="00E73EF2" w:rsidRPr="00681D81" w:rsidRDefault="00E73EF2" w:rsidP="00E73EF2">
      <w:pPr>
        <w:rPr>
          <w:rFonts w:ascii="Times New Roman" w:hAnsi="Times New Roman" w:cs="Times New Roman"/>
          <w:sz w:val="24"/>
        </w:rPr>
      </w:pPr>
      <w:r w:rsidRPr="00681D81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73EF2" w:rsidRPr="00E73EF2" w:rsidRDefault="00E73EF2" w:rsidP="00E73EF2">
      <w:pPr>
        <w:rPr>
          <w:rFonts w:ascii="Times New Roman" w:hAnsi="Times New Roman" w:cs="Times New Roman"/>
          <w:sz w:val="24"/>
        </w:rPr>
      </w:pPr>
      <w:r w:rsidRPr="00681D81">
        <w:rPr>
          <w:rFonts w:ascii="Times New Roman" w:hAnsi="Times New Roman" w:cs="Times New Roman"/>
          <w:sz w:val="24"/>
        </w:rPr>
        <w:t>(pretendenta  nosaukums)</w:t>
      </w:r>
      <w:r w:rsidRPr="00681D81">
        <w:rPr>
          <w:rFonts w:ascii="Times New Roman" w:hAnsi="Times New Roman" w:cs="Times New Roman"/>
          <w:sz w:val="24"/>
        </w:rPr>
        <w:tab/>
        <w:t xml:space="preserve"> (amats) </w:t>
      </w:r>
      <w:r w:rsidRPr="00681D81">
        <w:rPr>
          <w:rFonts w:ascii="Times New Roman" w:hAnsi="Times New Roman" w:cs="Times New Roman"/>
          <w:sz w:val="24"/>
        </w:rPr>
        <w:tab/>
        <w:t>(paraksts)</w:t>
      </w:r>
      <w:r w:rsidRPr="00681D81">
        <w:rPr>
          <w:rFonts w:ascii="Times New Roman" w:hAnsi="Times New Roman" w:cs="Times New Roman"/>
          <w:sz w:val="24"/>
        </w:rPr>
        <w:tab/>
      </w:r>
      <w:r w:rsidRPr="00681D8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(vārds, uzvārds)</w:t>
      </w:r>
    </w:p>
    <w:p w:rsidR="00BE15A4" w:rsidRDefault="00BE15A4"/>
    <w:sectPr w:rsidR="00BE15A4" w:rsidSect="0076758F">
      <w:headerReference w:type="even" r:id="rId7"/>
      <w:headerReference w:type="default" r:id="rId8"/>
      <w:footerReference w:type="even" r:id="rId9"/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A2" w:rsidRDefault="00AB53A2">
      <w:r>
        <w:separator/>
      </w:r>
    </w:p>
  </w:endnote>
  <w:endnote w:type="continuationSeparator" w:id="0">
    <w:p w:rsidR="00AB53A2" w:rsidRDefault="00AB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15" w:rsidRDefault="00E73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4115" w:rsidRDefault="00AB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A2" w:rsidRDefault="00AB53A2">
      <w:r>
        <w:separator/>
      </w:r>
    </w:p>
  </w:footnote>
  <w:footnote w:type="continuationSeparator" w:id="0">
    <w:p w:rsidR="00AB53A2" w:rsidRDefault="00AB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15" w:rsidRDefault="00E73E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674115" w:rsidRDefault="00AB53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15" w:rsidRDefault="00AB53A2">
    <w:pPr>
      <w:pStyle w:val="Header"/>
      <w:framePr w:wrap="around" w:vAnchor="text" w:hAnchor="margin" w:xAlign="right" w:y="1"/>
      <w:rPr>
        <w:rStyle w:val="PageNumber"/>
      </w:rPr>
    </w:pPr>
  </w:p>
  <w:p w:rsidR="00674115" w:rsidRDefault="00AB53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B84"/>
    <w:multiLevelType w:val="hybridMultilevel"/>
    <w:tmpl w:val="EE909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2"/>
    <w:rsid w:val="004D44F8"/>
    <w:rsid w:val="00AB53A2"/>
    <w:rsid w:val="00BE15A4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FAB9A-904F-4A1A-83E3-BB253FC0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F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rsid w:val="00E73EF2"/>
    <w:pPr>
      <w:tabs>
        <w:tab w:val="center" w:pos="4153"/>
        <w:tab w:val="right" w:pos="8306"/>
      </w:tabs>
    </w:pPr>
    <w:rPr>
      <w:rFonts w:cs="Times New Roman"/>
      <w:kern w:val="0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E73EF2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rsid w:val="00E73EF2"/>
  </w:style>
  <w:style w:type="paragraph" w:styleId="Header">
    <w:name w:val="header"/>
    <w:basedOn w:val="Normal"/>
    <w:link w:val="HeaderChar"/>
    <w:rsid w:val="00E73EF2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E73EF2"/>
    <w:rPr>
      <w:rFonts w:ascii="Cambria" w:eastAsia="Cambria" w:hAnsi="Cambria" w:cs="Times New Roman"/>
      <w:kern w:val="56"/>
      <w:sz w:val="28"/>
      <w:szCs w:val="24"/>
      <w:lang w:val="x-none"/>
    </w:rPr>
  </w:style>
  <w:style w:type="table" w:styleId="TableGrid">
    <w:name w:val="Table Grid"/>
    <w:basedOn w:val="TableNormal"/>
    <w:uiPriority w:val="59"/>
    <w:rsid w:val="00E7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2685</Words>
  <Characters>1531</Characters>
  <Application>Microsoft Office Word</Application>
  <DocSecurity>0</DocSecurity>
  <Lines>12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2</cp:revision>
  <dcterms:created xsi:type="dcterms:W3CDTF">2016-05-13T12:56:00Z</dcterms:created>
  <dcterms:modified xsi:type="dcterms:W3CDTF">2016-05-13T13:00:00Z</dcterms:modified>
</cp:coreProperties>
</file>