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05"/>
        <w:tblW w:w="10406" w:type="dxa"/>
        <w:tblLayout w:type="fixed"/>
        <w:tblLook w:val="04A0" w:firstRow="1" w:lastRow="0" w:firstColumn="1" w:lastColumn="0" w:noHBand="0" w:noVBand="1"/>
      </w:tblPr>
      <w:tblGrid>
        <w:gridCol w:w="236"/>
        <w:gridCol w:w="9829"/>
        <w:gridCol w:w="341"/>
      </w:tblGrid>
      <w:tr w:rsidR="008B192B" w:rsidRPr="005400EE" w:rsidTr="00BB2F9A">
        <w:trPr>
          <w:trHeight w:val="4770"/>
        </w:trPr>
        <w:tc>
          <w:tcPr>
            <w:tcW w:w="10065" w:type="dxa"/>
            <w:gridSpan w:val="2"/>
            <w:shd w:val="clear" w:color="auto" w:fill="auto"/>
          </w:tcPr>
          <w:p w:rsidR="004918EF" w:rsidRDefault="00F4006D" w:rsidP="00C17885">
            <w:pPr>
              <w:ind w:right="-170"/>
              <w:jc w:val="center"/>
              <w:rPr>
                <w:sz w:val="22"/>
                <w:szCs w:val="22"/>
                <w:lang w:val="lv-LV"/>
              </w:rPr>
            </w:pPr>
            <w:r>
              <w:rPr>
                <w:sz w:val="22"/>
                <w:szCs w:val="22"/>
                <w:lang w:val="lv-LV"/>
              </w:rPr>
              <w:t>Iepirkuma procedūra</w:t>
            </w:r>
          </w:p>
          <w:p w:rsidR="00F4006D" w:rsidRDefault="00F4006D" w:rsidP="00C17885">
            <w:pPr>
              <w:ind w:right="-170"/>
              <w:jc w:val="center"/>
              <w:rPr>
                <w:b/>
                <w:bCs/>
                <w:sz w:val="22"/>
                <w:szCs w:val="22"/>
                <w:lang w:val="lv-LV"/>
              </w:rPr>
            </w:pPr>
            <w:r w:rsidRPr="00F4006D">
              <w:rPr>
                <w:b/>
                <w:bCs/>
                <w:sz w:val="22"/>
                <w:szCs w:val="22"/>
                <w:lang w:val="lv-LV"/>
              </w:rPr>
              <w:t>“</w:t>
            </w:r>
            <w:r w:rsidR="0031460C" w:rsidRPr="0031460C">
              <w:rPr>
                <w:b/>
                <w:bCs/>
                <w:sz w:val="22"/>
                <w:szCs w:val="22"/>
                <w:lang w:val="lv-LV"/>
              </w:rPr>
              <w:t>Telpu un teritoriju ikdienas uzkopšanas darbi RTU objektos Rīgā, Daugavgrīvas ielā 56a, un Ventspilī, Kuldīgas ielā 55</w:t>
            </w:r>
            <w:r w:rsidRPr="00F4006D">
              <w:rPr>
                <w:b/>
                <w:bCs/>
                <w:sz w:val="22"/>
                <w:szCs w:val="22"/>
                <w:lang w:val="lv-LV"/>
              </w:rPr>
              <w:t>”</w:t>
            </w:r>
          </w:p>
          <w:p w:rsidR="004918EF" w:rsidRPr="004918EF" w:rsidRDefault="004918EF" w:rsidP="00C17885">
            <w:pPr>
              <w:ind w:right="-170"/>
              <w:jc w:val="center"/>
              <w:rPr>
                <w:sz w:val="22"/>
                <w:szCs w:val="22"/>
                <w:lang w:val="lv-LV"/>
              </w:rPr>
            </w:pPr>
            <w:r w:rsidRPr="004918EF">
              <w:rPr>
                <w:sz w:val="22"/>
                <w:szCs w:val="22"/>
                <w:lang w:val="lv-LV"/>
              </w:rPr>
              <w:t>(i</w:t>
            </w:r>
            <w:r w:rsidR="0031460C">
              <w:rPr>
                <w:sz w:val="22"/>
                <w:szCs w:val="22"/>
                <w:lang w:val="lv-LV"/>
              </w:rPr>
              <w:t>dentifikācijas Nr. RTU – 2016/80</w:t>
            </w:r>
            <w:r w:rsidRPr="004918EF">
              <w:rPr>
                <w:sz w:val="22"/>
                <w:szCs w:val="22"/>
                <w:lang w:val="lv-LV"/>
              </w:rPr>
              <w:t>)</w:t>
            </w:r>
          </w:p>
          <w:p w:rsidR="00BE2CEF" w:rsidRDefault="00BE2CEF" w:rsidP="00C17885">
            <w:pPr>
              <w:jc w:val="both"/>
              <w:rPr>
                <w:b/>
                <w:sz w:val="22"/>
                <w:szCs w:val="22"/>
                <w:lang w:val="lv-LV"/>
              </w:rPr>
            </w:pPr>
          </w:p>
          <w:p w:rsidR="00BE2CEF" w:rsidRDefault="003C72F1" w:rsidP="00C17885">
            <w:pPr>
              <w:jc w:val="center"/>
              <w:rPr>
                <w:sz w:val="22"/>
                <w:szCs w:val="22"/>
                <w:lang w:val="lv-LV"/>
              </w:rPr>
            </w:pPr>
            <w:r>
              <w:rPr>
                <w:sz w:val="22"/>
                <w:szCs w:val="22"/>
                <w:lang w:val="lv-LV"/>
              </w:rPr>
              <w:t>Protokols Nr.4</w:t>
            </w:r>
          </w:p>
          <w:p w:rsidR="00BE2CEF" w:rsidRDefault="00BE2CEF" w:rsidP="00C17885">
            <w:pPr>
              <w:jc w:val="both"/>
              <w:rPr>
                <w:sz w:val="22"/>
                <w:szCs w:val="22"/>
                <w:lang w:val="lv-LV"/>
              </w:rPr>
            </w:pPr>
          </w:p>
          <w:p w:rsidR="00BE2CEF" w:rsidRDefault="00BE2CEF" w:rsidP="00C17885">
            <w:pPr>
              <w:jc w:val="both"/>
              <w:rPr>
                <w:sz w:val="22"/>
                <w:szCs w:val="22"/>
                <w:lang w:val="lv-LV"/>
              </w:rPr>
            </w:pPr>
            <w:r>
              <w:rPr>
                <w:sz w:val="22"/>
                <w:szCs w:val="22"/>
                <w:lang w:val="lv-LV"/>
              </w:rPr>
              <w:t xml:space="preserve"> Rīgā, Kaļķ</w:t>
            </w:r>
            <w:r w:rsidR="00CB1B73">
              <w:rPr>
                <w:sz w:val="22"/>
                <w:szCs w:val="22"/>
                <w:lang w:val="lv-LV"/>
              </w:rPr>
              <w:t>u ielā 1 – 322. telpā, pl</w:t>
            </w:r>
            <w:r w:rsidR="003C72F1">
              <w:rPr>
                <w:sz w:val="22"/>
                <w:szCs w:val="22"/>
                <w:lang w:val="lv-LV"/>
              </w:rPr>
              <w:t>kst. 14</w:t>
            </w:r>
            <w:r w:rsidR="001475C2">
              <w:rPr>
                <w:sz w:val="22"/>
                <w:szCs w:val="22"/>
                <w:lang w:val="lv-LV"/>
              </w:rPr>
              <w:t>:0</w:t>
            </w:r>
            <w:r>
              <w:rPr>
                <w:sz w:val="22"/>
                <w:szCs w:val="22"/>
                <w:lang w:val="lv-LV"/>
              </w:rPr>
              <w:t xml:space="preserve">0                                                           </w:t>
            </w:r>
            <w:r w:rsidR="00F4006D">
              <w:rPr>
                <w:sz w:val="22"/>
                <w:szCs w:val="22"/>
                <w:lang w:val="lv-LV"/>
              </w:rPr>
              <w:t xml:space="preserve">                              </w:t>
            </w:r>
            <w:r w:rsidR="003C72F1">
              <w:rPr>
                <w:sz w:val="22"/>
                <w:szCs w:val="22"/>
                <w:lang w:val="lv-LV"/>
              </w:rPr>
              <w:t>19</w:t>
            </w:r>
            <w:r w:rsidR="00226F92">
              <w:rPr>
                <w:sz w:val="22"/>
                <w:szCs w:val="22"/>
                <w:lang w:val="lv-LV"/>
              </w:rPr>
              <w:t>.0</w:t>
            </w:r>
            <w:r w:rsidR="0031460C">
              <w:rPr>
                <w:sz w:val="22"/>
                <w:szCs w:val="22"/>
                <w:lang w:val="lv-LV"/>
              </w:rPr>
              <w:t>8</w:t>
            </w:r>
            <w:r w:rsidR="004918EF">
              <w:rPr>
                <w:sz w:val="22"/>
                <w:szCs w:val="22"/>
                <w:lang w:val="lv-LV"/>
              </w:rPr>
              <w:t>.2016</w:t>
            </w:r>
            <w:r>
              <w:rPr>
                <w:sz w:val="22"/>
                <w:szCs w:val="22"/>
                <w:lang w:val="lv-LV"/>
              </w:rPr>
              <w:t>.</w:t>
            </w:r>
          </w:p>
          <w:p w:rsidR="00BE2CEF" w:rsidRDefault="00BE2CEF" w:rsidP="00C17885">
            <w:pPr>
              <w:jc w:val="both"/>
              <w:rPr>
                <w:sz w:val="22"/>
                <w:szCs w:val="22"/>
                <w:lang w:val="lv-LV"/>
              </w:rPr>
            </w:pPr>
          </w:p>
          <w:tbl>
            <w:tblPr>
              <w:tblW w:w="9464" w:type="dxa"/>
              <w:tblLayout w:type="fixed"/>
              <w:tblLook w:val="04A0" w:firstRow="1" w:lastRow="0" w:firstColumn="1" w:lastColumn="0" w:noHBand="0" w:noVBand="1"/>
            </w:tblPr>
            <w:tblGrid>
              <w:gridCol w:w="3085"/>
              <w:gridCol w:w="6379"/>
            </w:tblGrid>
            <w:tr w:rsidR="00BE2CEF" w:rsidRPr="00364CE0" w:rsidTr="0031460C">
              <w:tc>
                <w:tcPr>
                  <w:tcW w:w="3085" w:type="dxa"/>
                </w:tcPr>
                <w:p w:rsidR="00BE2CEF" w:rsidRPr="00364CE0" w:rsidRDefault="00BE2CEF" w:rsidP="003C72F1">
                  <w:pPr>
                    <w:framePr w:hSpace="180" w:wrap="around" w:hAnchor="margin" w:y="-705"/>
                    <w:tabs>
                      <w:tab w:val="left" w:pos="9575"/>
                    </w:tabs>
                    <w:spacing w:before="120"/>
                    <w:jc w:val="both"/>
                    <w:rPr>
                      <w:b/>
                      <w:sz w:val="22"/>
                      <w:szCs w:val="22"/>
                    </w:rPr>
                  </w:pPr>
                  <w:r w:rsidRPr="00364CE0">
                    <w:rPr>
                      <w:b/>
                      <w:sz w:val="22"/>
                      <w:szCs w:val="22"/>
                    </w:rPr>
                    <w:t>Komisijas priekšsēdētājs:</w:t>
                  </w:r>
                </w:p>
              </w:tc>
              <w:tc>
                <w:tcPr>
                  <w:tcW w:w="6379" w:type="dxa"/>
                </w:tcPr>
                <w:p w:rsidR="00BE2CEF" w:rsidRPr="00364CE0" w:rsidRDefault="00BE2CEF" w:rsidP="003C72F1">
                  <w:pPr>
                    <w:framePr w:hSpace="180" w:wrap="around" w:hAnchor="margin" w:y="-705"/>
                    <w:tabs>
                      <w:tab w:val="left" w:pos="397"/>
                      <w:tab w:val="left" w:pos="9000"/>
                      <w:tab w:val="left" w:pos="9575"/>
                    </w:tabs>
                    <w:spacing w:before="120"/>
                    <w:jc w:val="both"/>
                    <w:rPr>
                      <w:b/>
                      <w:sz w:val="22"/>
                      <w:szCs w:val="22"/>
                    </w:rPr>
                  </w:pPr>
                </w:p>
              </w:tc>
            </w:tr>
            <w:tr w:rsidR="00BE2CEF" w:rsidRPr="00364CE0" w:rsidTr="0031460C">
              <w:tc>
                <w:tcPr>
                  <w:tcW w:w="3085" w:type="dxa"/>
                </w:tcPr>
                <w:p w:rsidR="00BE2CEF" w:rsidRPr="00364CE0" w:rsidRDefault="00BE2CEF" w:rsidP="003C72F1">
                  <w:pPr>
                    <w:framePr w:hSpace="180" w:wrap="around" w:hAnchor="margin" w:y="-705"/>
                    <w:jc w:val="both"/>
                    <w:rPr>
                      <w:b/>
                      <w:sz w:val="22"/>
                      <w:szCs w:val="22"/>
                    </w:rPr>
                  </w:pPr>
                  <w:r w:rsidRPr="00364CE0">
                    <w:rPr>
                      <w:rStyle w:val="c1"/>
                      <w:color w:val="000000"/>
                      <w:sz w:val="22"/>
                      <w:szCs w:val="22"/>
                    </w:rPr>
                    <w:t xml:space="preserve">Jevgēnijs Gramsts </w:t>
                  </w:r>
                </w:p>
              </w:tc>
              <w:tc>
                <w:tcPr>
                  <w:tcW w:w="6379" w:type="dxa"/>
                </w:tcPr>
                <w:p w:rsidR="00BE2CEF" w:rsidRPr="00364CE0" w:rsidRDefault="00BE2CEF" w:rsidP="003C72F1">
                  <w:pPr>
                    <w:framePr w:hSpace="180" w:wrap="around" w:hAnchor="margin" w:y="-705"/>
                    <w:jc w:val="both"/>
                    <w:rPr>
                      <w:b/>
                      <w:sz w:val="22"/>
                      <w:szCs w:val="22"/>
                    </w:rPr>
                  </w:pPr>
                  <w:r w:rsidRPr="00364CE0">
                    <w:rPr>
                      <w:rStyle w:val="c1"/>
                      <w:color w:val="000000"/>
                      <w:sz w:val="22"/>
                      <w:szCs w:val="22"/>
                    </w:rPr>
                    <w:t xml:space="preserve">Juridiskā departamenta Iepirkumu nodaļas vecākais iepirkumu speciālists </w:t>
                  </w:r>
                </w:p>
              </w:tc>
            </w:tr>
            <w:tr w:rsidR="00BE2CEF" w:rsidRPr="00364CE0" w:rsidTr="0031460C">
              <w:trPr>
                <w:trHeight w:val="334"/>
              </w:trPr>
              <w:tc>
                <w:tcPr>
                  <w:tcW w:w="3085" w:type="dxa"/>
                </w:tcPr>
                <w:p w:rsidR="00BE2CEF" w:rsidRPr="004918EF" w:rsidRDefault="00BE2CEF" w:rsidP="003C72F1">
                  <w:pPr>
                    <w:framePr w:hSpace="180" w:wrap="around" w:hAnchor="margin" w:y="-705"/>
                    <w:tabs>
                      <w:tab w:val="left" w:pos="9000"/>
                      <w:tab w:val="left" w:pos="9360"/>
                      <w:tab w:val="left" w:pos="9575"/>
                    </w:tabs>
                    <w:spacing w:before="120"/>
                    <w:jc w:val="both"/>
                    <w:rPr>
                      <w:b/>
                      <w:sz w:val="22"/>
                      <w:szCs w:val="22"/>
                    </w:rPr>
                  </w:pPr>
                  <w:r w:rsidRPr="004918EF">
                    <w:rPr>
                      <w:b/>
                      <w:sz w:val="22"/>
                      <w:szCs w:val="22"/>
                    </w:rPr>
                    <w:t>Komisijas locekļi:</w:t>
                  </w:r>
                </w:p>
              </w:tc>
              <w:tc>
                <w:tcPr>
                  <w:tcW w:w="6379" w:type="dxa"/>
                </w:tcPr>
                <w:p w:rsidR="00BE2CEF" w:rsidRPr="004918EF" w:rsidRDefault="00BE2CEF" w:rsidP="003C72F1">
                  <w:pPr>
                    <w:framePr w:hSpace="180" w:wrap="around" w:hAnchor="margin" w:y="-705"/>
                    <w:tabs>
                      <w:tab w:val="left" w:pos="397"/>
                      <w:tab w:val="left" w:pos="9000"/>
                      <w:tab w:val="left" w:pos="9575"/>
                    </w:tabs>
                    <w:spacing w:before="120"/>
                    <w:jc w:val="both"/>
                    <w:rPr>
                      <w:b/>
                      <w:sz w:val="22"/>
                      <w:szCs w:val="22"/>
                    </w:rPr>
                  </w:pPr>
                </w:p>
              </w:tc>
            </w:tr>
            <w:tr w:rsidR="004918EF" w:rsidRPr="00364CE0" w:rsidTr="0031460C">
              <w:tc>
                <w:tcPr>
                  <w:tcW w:w="3085" w:type="dxa"/>
                </w:tcPr>
                <w:p w:rsidR="004918EF" w:rsidRPr="004918EF" w:rsidRDefault="00F4006D" w:rsidP="003C72F1">
                  <w:pPr>
                    <w:framePr w:hSpace="180" w:wrap="around" w:hAnchor="margin" w:y="-705"/>
                    <w:jc w:val="both"/>
                    <w:rPr>
                      <w:sz w:val="22"/>
                      <w:szCs w:val="22"/>
                    </w:rPr>
                  </w:pPr>
                  <w:r>
                    <w:rPr>
                      <w:sz w:val="22"/>
                      <w:szCs w:val="22"/>
                    </w:rPr>
                    <w:t>Ingmars Zālītis</w:t>
                  </w:r>
                </w:p>
              </w:tc>
              <w:tc>
                <w:tcPr>
                  <w:tcW w:w="6379" w:type="dxa"/>
                </w:tcPr>
                <w:p w:rsidR="004918EF" w:rsidRPr="004918EF" w:rsidRDefault="00F4006D" w:rsidP="003C72F1">
                  <w:pPr>
                    <w:framePr w:hSpace="180" w:wrap="around" w:hAnchor="margin" w:y="-705"/>
                    <w:jc w:val="both"/>
                    <w:rPr>
                      <w:sz w:val="22"/>
                      <w:szCs w:val="22"/>
                    </w:rPr>
                  </w:pPr>
                  <w:r>
                    <w:rPr>
                      <w:sz w:val="22"/>
                      <w:szCs w:val="22"/>
                    </w:rPr>
                    <w:t>Saimniecības departamenta direktora vietnieks</w:t>
                  </w:r>
                </w:p>
              </w:tc>
            </w:tr>
            <w:tr w:rsidR="004918EF" w:rsidRPr="00364CE0" w:rsidTr="0031460C">
              <w:tc>
                <w:tcPr>
                  <w:tcW w:w="3085" w:type="dxa"/>
                </w:tcPr>
                <w:p w:rsidR="004918EF" w:rsidRPr="004918EF" w:rsidRDefault="00226F92" w:rsidP="003C72F1">
                  <w:pPr>
                    <w:framePr w:hSpace="180" w:wrap="around" w:hAnchor="margin" w:y="-705"/>
                    <w:jc w:val="both"/>
                    <w:rPr>
                      <w:sz w:val="22"/>
                      <w:szCs w:val="22"/>
                    </w:rPr>
                  </w:pPr>
                  <w:r>
                    <w:rPr>
                      <w:sz w:val="22"/>
                      <w:szCs w:val="22"/>
                    </w:rPr>
                    <w:t>Armands Ve</w:t>
                  </w:r>
                  <w:r w:rsidR="00CB1B73">
                    <w:rPr>
                      <w:sz w:val="22"/>
                      <w:szCs w:val="22"/>
                    </w:rPr>
                    <w:t>rkulevičs</w:t>
                  </w:r>
                </w:p>
              </w:tc>
              <w:tc>
                <w:tcPr>
                  <w:tcW w:w="6379" w:type="dxa"/>
                </w:tcPr>
                <w:p w:rsidR="004918EF" w:rsidRPr="004918EF" w:rsidRDefault="00F4006D" w:rsidP="003C72F1">
                  <w:pPr>
                    <w:framePr w:hSpace="180" w:wrap="around" w:hAnchor="margin" w:y="-705"/>
                    <w:jc w:val="both"/>
                    <w:rPr>
                      <w:sz w:val="22"/>
                      <w:szCs w:val="22"/>
                    </w:rPr>
                  </w:pPr>
                  <w:r>
                    <w:rPr>
                      <w:sz w:val="22"/>
                      <w:szCs w:val="22"/>
                    </w:rPr>
                    <w:t>Nekustamā īpašuma speciālists</w:t>
                  </w:r>
                </w:p>
              </w:tc>
            </w:tr>
          </w:tbl>
          <w:p w:rsidR="00BE2CEF" w:rsidRPr="00270D5A" w:rsidRDefault="00BE2CEF" w:rsidP="00C17885">
            <w:pPr>
              <w:jc w:val="both"/>
              <w:rPr>
                <w:sz w:val="22"/>
                <w:szCs w:val="22"/>
                <w:lang w:val="lv-LV"/>
              </w:rPr>
            </w:pPr>
            <w:r w:rsidRPr="00270D5A">
              <w:rPr>
                <w:sz w:val="22"/>
                <w:szCs w:val="22"/>
                <w:lang w:val="lv-LV"/>
              </w:rPr>
              <w:t xml:space="preserve">Komisija izveidota ar RTU </w:t>
            </w:r>
            <w:r w:rsidR="00F4006D">
              <w:rPr>
                <w:sz w:val="22"/>
                <w:szCs w:val="22"/>
                <w:lang w:val="lv-LV"/>
              </w:rPr>
              <w:t>finanšu pro</w:t>
            </w:r>
            <w:r w:rsidRPr="00270D5A">
              <w:rPr>
                <w:sz w:val="22"/>
                <w:szCs w:val="22"/>
                <w:lang w:val="lv-LV"/>
              </w:rPr>
              <w:t xml:space="preserve">rektora </w:t>
            </w:r>
            <w:r w:rsidR="004918EF">
              <w:rPr>
                <w:sz w:val="22"/>
                <w:szCs w:val="22"/>
              </w:rPr>
              <w:t>2016</w:t>
            </w:r>
            <w:r>
              <w:rPr>
                <w:sz w:val="22"/>
                <w:szCs w:val="22"/>
              </w:rPr>
              <w:t xml:space="preserve">. gada </w:t>
            </w:r>
            <w:r w:rsidR="0031460C">
              <w:rPr>
                <w:sz w:val="22"/>
                <w:szCs w:val="22"/>
              </w:rPr>
              <w:t>6</w:t>
            </w:r>
            <w:r w:rsidRPr="00270D5A">
              <w:rPr>
                <w:sz w:val="22"/>
                <w:szCs w:val="22"/>
              </w:rPr>
              <w:t xml:space="preserve">. </w:t>
            </w:r>
            <w:r w:rsidR="0031460C">
              <w:rPr>
                <w:sz w:val="22"/>
                <w:szCs w:val="22"/>
              </w:rPr>
              <w:t>jūlija</w:t>
            </w:r>
            <w:r>
              <w:rPr>
                <w:sz w:val="22"/>
                <w:szCs w:val="22"/>
              </w:rPr>
              <w:t xml:space="preserve"> rīkojumu Nr. 03000-1</w:t>
            </w:r>
            <w:r w:rsidR="0031460C">
              <w:rPr>
                <w:sz w:val="22"/>
                <w:szCs w:val="22"/>
              </w:rPr>
              <w:t>.2/84</w:t>
            </w:r>
            <w:r w:rsidRPr="00270D5A">
              <w:rPr>
                <w:sz w:val="22"/>
                <w:szCs w:val="22"/>
                <w:lang w:val="lv-LV"/>
              </w:rPr>
              <w:t>.</w:t>
            </w:r>
          </w:p>
          <w:p w:rsidR="007F539D" w:rsidRDefault="007F539D" w:rsidP="00C17885">
            <w:pPr>
              <w:jc w:val="both"/>
              <w:rPr>
                <w:sz w:val="22"/>
                <w:szCs w:val="22"/>
                <w:lang w:val="lv-LV"/>
              </w:rPr>
            </w:pPr>
          </w:p>
          <w:p w:rsidR="00F53E95" w:rsidRPr="00FA16FE" w:rsidRDefault="00F53E95" w:rsidP="00C17885">
            <w:pPr>
              <w:jc w:val="both"/>
              <w:rPr>
                <w:b/>
                <w:sz w:val="22"/>
                <w:szCs w:val="22"/>
                <w:lang w:val="lv-LV"/>
              </w:rPr>
            </w:pPr>
            <w:r w:rsidRPr="00FA16FE">
              <w:rPr>
                <w:b/>
                <w:sz w:val="22"/>
                <w:szCs w:val="22"/>
                <w:lang w:val="lv-LV"/>
              </w:rPr>
              <w:t>Darba kārtībā</w:t>
            </w:r>
          </w:p>
          <w:p w:rsidR="00700735" w:rsidRDefault="00632D7E" w:rsidP="00C17885">
            <w:pPr>
              <w:pStyle w:val="ListParagraph"/>
              <w:numPr>
                <w:ilvl w:val="0"/>
                <w:numId w:val="35"/>
              </w:numPr>
              <w:jc w:val="both"/>
              <w:rPr>
                <w:sz w:val="22"/>
                <w:szCs w:val="22"/>
                <w:lang w:val="lv-LV"/>
              </w:rPr>
            </w:pPr>
            <w:r>
              <w:rPr>
                <w:sz w:val="22"/>
                <w:szCs w:val="22"/>
                <w:lang w:val="lv-LV"/>
              </w:rPr>
              <w:t>Atbilžu sniegšana uz iespējamo pretendentu uzdotajiem jautājumiem</w:t>
            </w:r>
            <w:r w:rsidR="00CC4CA1">
              <w:rPr>
                <w:sz w:val="22"/>
                <w:szCs w:val="22"/>
                <w:lang w:val="lv-LV"/>
              </w:rPr>
              <w:t xml:space="preserve"> un nolikuma precizēšana.</w:t>
            </w:r>
          </w:p>
          <w:p w:rsidR="00700735" w:rsidRPr="00DF738E" w:rsidRDefault="00700735" w:rsidP="00C17885">
            <w:pPr>
              <w:pStyle w:val="ListParagraph"/>
              <w:jc w:val="both"/>
              <w:rPr>
                <w:sz w:val="22"/>
                <w:szCs w:val="22"/>
                <w:lang w:val="lv-LV"/>
              </w:rPr>
            </w:pPr>
          </w:p>
          <w:p w:rsidR="00F00C85" w:rsidRDefault="00632D7E" w:rsidP="00C17885">
            <w:pPr>
              <w:pStyle w:val="ListParagraph"/>
              <w:keepNext/>
              <w:keepLines/>
              <w:numPr>
                <w:ilvl w:val="1"/>
                <w:numId w:val="35"/>
              </w:numPr>
              <w:jc w:val="both"/>
              <w:rPr>
                <w:sz w:val="22"/>
                <w:szCs w:val="22"/>
                <w:lang w:val="lv-LV"/>
              </w:rPr>
            </w:pPr>
            <w:r>
              <w:rPr>
                <w:sz w:val="22"/>
                <w:szCs w:val="22"/>
                <w:lang w:val="lv-LV"/>
              </w:rPr>
              <w:t>Komisijas priekš</w:t>
            </w:r>
            <w:r w:rsidR="00C17885">
              <w:rPr>
                <w:sz w:val="22"/>
                <w:szCs w:val="22"/>
                <w:lang w:val="lv-LV"/>
              </w:rPr>
              <w:t>s</w:t>
            </w:r>
            <w:r w:rsidR="003C72F1">
              <w:rPr>
                <w:sz w:val="22"/>
                <w:szCs w:val="22"/>
                <w:lang w:val="lv-LV"/>
              </w:rPr>
              <w:t>ēdētājs J.Gramsts informē, ka 19</w:t>
            </w:r>
            <w:r w:rsidR="0031460C">
              <w:rPr>
                <w:sz w:val="22"/>
                <w:szCs w:val="22"/>
                <w:lang w:val="lv-LV"/>
              </w:rPr>
              <w:t>.08</w:t>
            </w:r>
            <w:r w:rsidR="00FA16FE">
              <w:rPr>
                <w:sz w:val="22"/>
                <w:szCs w:val="22"/>
                <w:lang w:val="lv-LV"/>
              </w:rPr>
              <w:t xml:space="preserve">.2016. no </w:t>
            </w:r>
            <w:r w:rsidR="0031460C">
              <w:rPr>
                <w:sz w:val="22"/>
                <w:szCs w:val="22"/>
                <w:lang w:val="lv-LV"/>
              </w:rPr>
              <w:t>ieinteresētā piegādātāja</w:t>
            </w:r>
            <w:r>
              <w:rPr>
                <w:sz w:val="22"/>
                <w:szCs w:val="22"/>
                <w:lang w:val="lv-LV"/>
              </w:rPr>
              <w:t xml:space="preserve"> </w:t>
            </w:r>
            <w:r w:rsidR="003C72F1">
              <w:rPr>
                <w:sz w:val="22"/>
                <w:szCs w:val="22"/>
                <w:lang w:val="lv-LV"/>
              </w:rPr>
              <w:t xml:space="preserve">elektroniski </w:t>
            </w:r>
            <w:r>
              <w:rPr>
                <w:sz w:val="22"/>
                <w:szCs w:val="22"/>
                <w:lang w:val="lv-LV"/>
              </w:rPr>
              <w:t>ir saņemti jautājumi par konkursa nolikumu.</w:t>
            </w:r>
          </w:p>
          <w:p w:rsidR="00632D7E" w:rsidRDefault="00632D7E" w:rsidP="00C17885">
            <w:pPr>
              <w:pStyle w:val="ListParagraph"/>
              <w:keepNext/>
              <w:keepLines/>
              <w:numPr>
                <w:ilvl w:val="1"/>
                <w:numId w:val="35"/>
              </w:numPr>
              <w:jc w:val="both"/>
              <w:rPr>
                <w:sz w:val="22"/>
                <w:szCs w:val="22"/>
                <w:lang w:val="lv-LV"/>
              </w:rPr>
            </w:pPr>
            <w:r>
              <w:rPr>
                <w:sz w:val="22"/>
                <w:szCs w:val="22"/>
                <w:lang w:val="lv-LV"/>
              </w:rPr>
              <w:t>Komisijas locekļi iepazīstas ar uzdotajiem jautājumiem un nolemj sniegt šādas atbildes:</w:t>
            </w:r>
          </w:p>
          <w:p w:rsidR="009D099C" w:rsidRDefault="009D099C" w:rsidP="00C17885">
            <w:pPr>
              <w:pStyle w:val="ListParagraph"/>
              <w:keepNext/>
              <w:keepLines/>
              <w:jc w:val="both"/>
              <w:rPr>
                <w:b/>
                <w:sz w:val="22"/>
                <w:szCs w:val="22"/>
                <w:lang w:val="lv-LV"/>
              </w:rPr>
            </w:pPr>
          </w:p>
          <w:p w:rsidR="0031460C" w:rsidRPr="0031460C" w:rsidRDefault="00632D7E" w:rsidP="00C17885">
            <w:pPr>
              <w:pStyle w:val="ListParagraph"/>
              <w:keepNext/>
              <w:keepLines/>
              <w:jc w:val="both"/>
              <w:rPr>
                <w:sz w:val="22"/>
                <w:szCs w:val="22"/>
                <w:lang w:val="lv-LV"/>
              </w:rPr>
            </w:pPr>
            <w:r w:rsidRPr="00393CF2">
              <w:rPr>
                <w:b/>
                <w:sz w:val="22"/>
                <w:szCs w:val="22"/>
                <w:lang w:val="lv-LV"/>
              </w:rPr>
              <w:t>Jautājums Nr.1</w:t>
            </w:r>
            <w:r>
              <w:rPr>
                <w:sz w:val="22"/>
                <w:szCs w:val="22"/>
                <w:lang w:val="lv-LV"/>
              </w:rPr>
              <w:t xml:space="preserve">: </w:t>
            </w:r>
            <w:r w:rsidR="003C72F1" w:rsidRPr="003C72F1">
              <w:rPr>
                <w:sz w:val="22"/>
                <w:szCs w:val="22"/>
              </w:rPr>
              <w:t>Lūdzu norādīt konkrētu periodu mēnešos par kādu ir jāiesniedz VID izziņa par vidējām stundu tarifu likmēm</w:t>
            </w:r>
            <w:r w:rsidR="00C17885">
              <w:rPr>
                <w:sz w:val="22"/>
                <w:szCs w:val="22"/>
                <w:lang w:val="lv-LV"/>
              </w:rPr>
              <w:t xml:space="preserve">. </w:t>
            </w:r>
          </w:p>
          <w:p w:rsidR="0031460C" w:rsidRDefault="00632D7E" w:rsidP="00C17885">
            <w:pPr>
              <w:pStyle w:val="ListParagraph"/>
              <w:keepNext/>
              <w:keepLines/>
              <w:jc w:val="both"/>
              <w:rPr>
                <w:sz w:val="22"/>
                <w:szCs w:val="22"/>
              </w:rPr>
            </w:pPr>
            <w:r w:rsidRPr="00393CF2">
              <w:rPr>
                <w:b/>
                <w:sz w:val="22"/>
                <w:szCs w:val="22"/>
                <w:lang w:val="lv-LV"/>
              </w:rPr>
              <w:t>Atbilde Nr.1:</w:t>
            </w:r>
            <w:r w:rsidR="00EC4320">
              <w:rPr>
                <w:b/>
                <w:sz w:val="22"/>
                <w:szCs w:val="22"/>
                <w:lang w:val="lv-LV"/>
              </w:rPr>
              <w:t xml:space="preserve"> </w:t>
            </w:r>
            <w:r w:rsidR="0031460C" w:rsidRPr="0031460C">
              <w:rPr>
                <w:rFonts w:eastAsiaTheme="minorHAnsi"/>
                <w:b/>
                <w:bCs/>
                <w:sz w:val="28"/>
                <w:szCs w:val="28"/>
                <w:lang w:val="lv-LV"/>
              </w:rPr>
              <w:t xml:space="preserve"> </w:t>
            </w:r>
            <w:r w:rsidR="009A1D90">
              <w:rPr>
                <w:sz w:val="22"/>
                <w:szCs w:val="22"/>
                <w:lang w:val="lv-LV"/>
              </w:rPr>
              <w:t xml:space="preserve"> </w:t>
            </w:r>
            <w:r w:rsidR="003C72F1">
              <w:rPr>
                <w:sz w:val="22"/>
                <w:szCs w:val="22"/>
                <w:lang w:val="lv-LV"/>
              </w:rPr>
              <w:t>Atbilstoši Publisko iepirkumu likuma 48. panta (1</w:t>
            </w:r>
            <w:r w:rsidR="003C72F1">
              <w:rPr>
                <w:sz w:val="22"/>
                <w:szCs w:val="22"/>
                <w:vertAlign w:val="superscript"/>
                <w:lang w:val="lv-LV"/>
              </w:rPr>
              <w:t>1</w:t>
            </w:r>
            <w:r w:rsidR="003C72F1">
              <w:rPr>
                <w:sz w:val="22"/>
                <w:szCs w:val="22"/>
                <w:lang w:val="lv-LV"/>
              </w:rPr>
              <w:t xml:space="preserve">) daļas regulējumam </w:t>
            </w:r>
            <w:r w:rsidR="003C72F1" w:rsidRPr="003C72F1">
              <w:rPr>
                <w:sz w:val="22"/>
                <w:szCs w:val="22"/>
              </w:rPr>
              <w:t>Pasūtītājam ir pienākums izvērtēt, vai piedāvājums nav nepamatoti lēts, ja tas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p>
          <w:p w:rsidR="003C72F1" w:rsidRPr="003C72F1" w:rsidRDefault="003C72F1" w:rsidP="00C17885">
            <w:pPr>
              <w:pStyle w:val="ListParagraph"/>
              <w:keepNext/>
              <w:keepLines/>
              <w:jc w:val="both"/>
              <w:rPr>
                <w:bCs/>
                <w:sz w:val="22"/>
                <w:szCs w:val="22"/>
                <w:lang w:val="lv-LV"/>
              </w:rPr>
            </w:pPr>
            <w:r w:rsidRPr="003C72F1">
              <w:rPr>
                <w:sz w:val="22"/>
                <w:szCs w:val="22"/>
                <w:lang w:val="lv-LV"/>
              </w:rPr>
              <w:t xml:space="preserve">Ņemot vērā minēto, </w:t>
            </w:r>
            <w:r>
              <w:rPr>
                <w:sz w:val="22"/>
                <w:szCs w:val="22"/>
                <w:lang w:val="lv-LV"/>
              </w:rPr>
              <w:t>konkursa nolikuma 6.3.punktā paredzētā izziņa ir jāiesniedz par periodu – no 2015. gada augusta</w:t>
            </w:r>
            <w:bookmarkStart w:id="0" w:name="_GoBack"/>
            <w:bookmarkEnd w:id="0"/>
            <w:r>
              <w:rPr>
                <w:sz w:val="22"/>
                <w:szCs w:val="22"/>
                <w:lang w:val="lv-LV"/>
              </w:rPr>
              <w:t xml:space="preserve"> līdz 2016. gada maijam.</w:t>
            </w:r>
          </w:p>
          <w:p w:rsidR="00C17885" w:rsidRPr="00C17885" w:rsidRDefault="00C17885" w:rsidP="00C17885">
            <w:pPr>
              <w:pStyle w:val="ListParagraph"/>
              <w:keepNext/>
              <w:keepLines/>
              <w:jc w:val="both"/>
              <w:rPr>
                <w:sz w:val="22"/>
                <w:szCs w:val="22"/>
                <w:lang w:val="lv-LV"/>
              </w:rPr>
            </w:pPr>
          </w:p>
          <w:p w:rsidR="00646047" w:rsidRPr="00646047" w:rsidRDefault="00646047" w:rsidP="00C17885">
            <w:pPr>
              <w:pStyle w:val="ListParagraph"/>
              <w:numPr>
                <w:ilvl w:val="1"/>
                <w:numId w:val="35"/>
              </w:numPr>
              <w:jc w:val="both"/>
              <w:rPr>
                <w:sz w:val="22"/>
                <w:szCs w:val="22"/>
              </w:rPr>
            </w:pPr>
            <w:r>
              <w:rPr>
                <w:sz w:val="22"/>
                <w:szCs w:val="22"/>
              </w:rPr>
              <w:t xml:space="preserve">Komisijas locekļi uzdod J.Gramstam ievietot pasūtītāja mājaslapā informāciju par </w:t>
            </w:r>
            <w:r w:rsidR="00C17885">
              <w:rPr>
                <w:sz w:val="22"/>
                <w:szCs w:val="22"/>
              </w:rPr>
              <w:t>sniegtajām atbildēm</w:t>
            </w:r>
            <w:r>
              <w:rPr>
                <w:sz w:val="22"/>
                <w:szCs w:val="22"/>
              </w:rPr>
              <w:t>.</w:t>
            </w:r>
          </w:p>
          <w:p w:rsidR="00646047" w:rsidRPr="00735498" w:rsidRDefault="00646047" w:rsidP="00C17885">
            <w:pPr>
              <w:pStyle w:val="ListParagraph"/>
              <w:jc w:val="both"/>
              <w:rPr>
                <w:sz w:val="20"/>
                <w:szCs w:val="20"/>
              </w:rPr>
            </w:pPr>
          </w:p>
          <w:p w:rsidR="00FA16FE" w:rsidRDefault="00FA16FE" w:rsidP="00C17885">
            <w:pPr>
              <w:keepNext/>
              <w:keepLines/>
              <w:jc w:val="both"/>
              <w:rPr>
                <w:sz w:val="22"/>
                <w:szCs w:val="22"/>
                <w:lang w:val="lv-LV"/>
              </w:rPr>
            </w:pPr>
            <w:r>
              <w:rPr>
                <w:sz w:val="22"/>
                <w:szCs w:val="22"/>
                <w:lang w:val="lv-LV"/>
              </w:rPr>
              <w:t>Sēdi slēdz: J.Gramsts, plkst.1</w:t>
            </w:r>
            <w:r w:rsidR="003C72F1">
              <w:rPr>
                <w:sz w:val="22"/>
                <w:szCs w:val="22"/>
                <w:lang w:val="lv-LV"/>
              </w:rPr>
              <w:t>4</w:t>
            </w:r>
            <w:r w:rsidRPr="005400EE">
              <w:rPr>
                <w:sz w:val="22"/>
                <w:szCs w:val="22"/>
                <w:lang w:val="lv-LV"/>
              </w:rPr>
              <w:t>:</w:t>
            </w:r>
            <w:r w:rsidR="00C17885">
              <w:rPr>
                <w:sz w:val="22"/>
                <w:szCs w:val="22"/>
                <w:lang w:val="lv-LV"/>
              </w:rPr>
              <w:t>1</w:t>
            </w:r>
            <w:r w:rsidR="00646047">
              <w:rPr>
                <w:sz w:val="22"/>
                <w:szCs w:val="22"/>
                <w:lang w:val="lv-LV"/>
              </w:rPr>
              <w:t>0</w:t>
            </w:r>
          </w:p>
          <w:p w:rsidR="00646047" w:rsidRDefault="00646047" w:rsidP="00C17885">
            <w:pPr>
              <w:keepNext/>
              <w:keepLines/>
              <w:jc w:val="both"/>
              <w:rPr>
                <w:sz w:val="22"/>
                <w:szCs w:val="22"/>
                <w:lang w:val="lv-LV"/>
              </w:rPr>
            </w:pPr>
          </w:p>
          <w:p w:rsidR="00FA16FE" w:rsidRPr="005400EE" w:rsidRDefault="00FA16FE" w:rsidP="00C17885">
            <w:pPr>
              <w:keepNext/>
              <w:keepLines/>
              <w:jc w:val="both"/>
              <w:rPr>
                <w:sz w:val="22"/>
                <w:szCs w:val="22"/>
                <w:lang w:val="lv-LV"/>
              </w:rPr>
            </w:pPr>
          </w:p>
          <w:tbl>
            <w:tblPr>
              <w:tblW w:w="9882" w:type="dxa"/>
              <w:tblLayout w:type="fixed"/>
              <w:tblLook w:val="01E0" w:firstRow="1" w:lastRow="1" w:firstColumn="1" w:lastColumn="1" w:noHBand="0" w:noVBand="0"/>
            </w:tblPr>
            <w:tblGrid>
              <w:gridCol w:w="4050"/>
              <w:gridCol w:w="2982"/>
              <w:gridCol w:w="2850"/>
            </w:tblGrid>
            <w:tr w:rsidR="00FA16FE" w:rsidRPr="005400EE" w:rsidTr="0031460C">
              <w:tc>
                <w:tcPr>
                  <w:tcW w:w="4050" w:type="dxa"/>
                </w:tcPr>
                <w:p w:rsidR="00FA16FE" w:rsidRPr="005400EE" w:rsidRDefault="00FA16FE" w:rsidP="003C72F1">
                  <w:pPr>
                    <w:framePr w:hSpace="180" w:wrap="around" w:hAnchor="margin" w:y="-705"/>
                    <w:jc w:val="both"/>
                    <w:rPr>
                      <w:sz w:val="22"/>
                      <w:szCs w:val="22"/>
                      <w:lang w:val="lv-LV"/>
                    </w:rPr>
                  </w:pPr>
                  <w:r w:rsidRPr="005400EE">
                    <w:rPr>
                      <w:sz w:val="22"/>
                      <w:szCs w:val="22"/>
                      <w:lang w:val="lv-LV"/>
                    </w:rPr>
                    <w:t>Komisijas priekšsēdētājs:</w:t>
                  </w:r>
                </w:p>
              </w:tc>
              <w:tc>
                <w:tcPr>
                  <w:tcW w:w="2982" w:type="dxa"/>
                </w:tcPr>
                <w:p w:rsidR="00FA16FE" w:rsidRPr="005400EE" w:rsidRDefault="00FA16FE" w:rsidP="003C72F1">
                  <w:pPr>
                    <w:framePr w:hSpace="180" w:wrap="around" w:hAnchor="margin" w:y="-705"/>
                    <w:jc w:val="both"/>
                    <w:rPr>
                      <w:sz w:val="22"/>
                      <w:szCs w:val="22"/>
                      <w:lang w:val="lv-LV"/>
                    </w:rPr>
                  </w:pPr>
                </w:p>
              </w:tc>
              <w:tc>
                <w:tcPr>
                  <w:tcW w:w="2850" w:type="dxa"/>
                </w:tcPr>
                <w:p w:rsidR="00FA16FE" w:rsidRPr="005400EE" w:rsidRDefault="00FA16FE" w:rsidP="003C72F1">
                  <w:pPr>
                    <w:framePr w:hSpace="180" w:wrap="around" w:hAnchor="margin" w:y="-705"/>
                    <w:jc w:val="both"/>
                    <w:rPr>
                      <w:sz w:val="22"/>
                      <w:szCs w:val="22"/>
                      <w:lang w:val="lv-LV"/>
                    </w:rPr>
                  </w:pPr>
                  <w:r w:rsidRPr="005400EE">
                    <w:rPr>
                      <w:sz w:val="22"/>
                      <w:szCs w:val="22"/>
                      <w:lang w:val="lv-LV"/>
                    </w:rPr>
                    <w:t xml:space="preserve"> </w:t>
                  </w:r>
                  <w:r>
                    <w:rPr>
                      <w:sz w:val="22"/>
                      <w:szCs w:val="22"/>
                      <w:lang w:val="lv-LV"/>
                    </w:rPr>
                    <w:t xml:space="preserve">   </w:t>
                  </w:r>
                  <w:r w:rsidRPr="005400EE">
                    <w:rPr>
                      <w:sz w:val="22"/>
                      <w:szCs w:val="22"/>
                      <w:lang w:val="lv-LV"/>
                    </w:rPr>
                    <w:t>J.Gramsts</w:t>
                  </w:r>
                </w:p>
              </w:tc>
            </w:tr>
            <w:tr w:rsidR="00FA16FE" w:rsidRPr="005400EE" w:rsidTr="0031460C">
              <w:trPr>
                <w:gridAfter w:val="1"/>
                <w:wAfter w:w="2850" w:type="dxa"/>
              </w:trPr>
              <w:tc>
                <w:tcPr>
                  <w:tcW w:w="4050" w:type="dxa"/>
                </w:tcPr>
                <w:p w:rsidR="00FA16FE" w:rsidRPr="005400EE" w:rsidRDefault="00FA16FE" w:rsidP="003C72F1">
                  <w:pPr>
                    <w:framePr w:hSpace="180" w:wrap="around" w:hAnchor="margin" w:y="-705"/>
                    <w:jc w:val="both"/>
                    <w:rPr>
                      <w:sz w:val="22"/>
                      <w:szCs w:val="22"/>
                      <w:lang w:val="lv-LV"/>
                    </w:rPr>
                  </w:pPr>
                </w:p>
                <w:p w:rsidR="00FA16FE" w:rsidRPr="005400EE" w:rsidRDefault="00FA16FE" w:rsidP="003C72F1">
                  <w:pPr>
                    <w:framePr w:hSpace="180" w:wrap="around" w:hAnchor="margin" w:y="-705"/>
                    <w:jc w:val="both"/>
                    <w:rPr>
                      <w:sz w:val="22"/>
                      <w:szCs w:val="22"/>
                      <w:lang w:val="lv-LV"/>
                    </w:rPr>
                  </w:pPr>
                  <w:r w:rsidRPr="005400EE">
                    <w:rPr>
                      <w:sz w:val="22"/>
                      <w:szCs w:val="22"/>
                      <w:lang w:val="lv-LV"/>
                    </w:rPr>
                    <w:t>Komisijas locekļi:</w:t>
                  </w:r>
                </w:p>
              </w:tc>
              <w:tc>
                <w:tcPr>
                  <w:tcW w:w="2982" w:type="dxa"/>
                </w:tcPr>
                <w:p w:rsidR="00FA16FE" w:rsidRPr="005400EE" w:rsidRDefault="00FA16FE" w:rsidP="003C72F1">
                  <w:pPr>
                    <w:framePr w:hSpace="180" w:wrap="around" w:hAnchor="margin" w:y="-705"/>
                    <w:jc w:val="both"/>
                    <w:rPr>
                      <w:sz w:val="22"/>
                      <w:szCs w:val="22"/>
                      <w:lang w:val="lv-LV"/>
                    </w:rPr>
                  </w:pPr>
                </w:p>
              </w:tc>
            </w:tr>
            <w:tr w:rsidR="00FA16FE" w:rsidRPr="005400EE" w:rsidTr="0031460C">
              <w:tc>
                <w:tcPr>
                  <w:tcW w:w="4050" w:type="dxa"/>
                </w:tcPr>
                <w:p w:rsidR="00FA16FE" w:rsidRPr="005400EE" w:rsidRDefault="00FA16FE" w:rsidP="003C72F1">
                  <w:pPr>
                    <w:framePr w:hSpace="180" w:wrap="around" w:hAnchor="margin" w:y="-705"/>
                    <w:jc w:val="both"/>
                    <w:rPr>
                      <w:sz w:val="22"/>
                      <w:szCs w:val="22"/>
                    </w:rPr>
                  </w:pPr>
                </w:p>
              </w:tc>
              <w:tc>
                <w:tcPr>
                  <w:tcW w:w="2982" w:type="dxa"/>
                </w:tcPr>
                <w:p w:rsidR="00FA16FE" w:rsidRPr="005400EE" w:rsidRDefault="00FA16FE" w:rsidP="003C72F1">
                  <w:pPr>
                    <w:framePr w:hSpace="180" w:wrap="around" w:hAnchor="margin" w:y="-705"/>
                    <w:jc w:val="both"/>
                    <w:rPr>
                      <w:sz w:val="22"/>
                      <w:szCs w:val="22"/>
                      <w:lang w:val="lv-LV"/>
                    </w:rPr>
                  </w:pPr>
                </w:p>
              </w:tc>
              <w:tc>
                <w:tcPr>
                  <w:tcW w:w="2850" w:type="dxa"/>
                </w:tcPr>
                <w:tbl>
                  <w:tblPr>
                    <w:tblW w:w="9464" w:type="dxa"/>
                    <w:tblLayout w:type="fixed"/>
                    <w:tblLook w:val="04A0" w:firstRow="1" w:lastRow="0" w:firstColumn="1" w:lastColumn="0" w:noHBand="0" w:noVBand="1"/>
                  </w:tblPr>
                  <w:tblGrid>
                    <w:gridCol w:w="9464"/>
                  </w:tblGrid>
                  <w:tr w:rsidR="00FA16FE" w:rsidRPr="005400EE" w:rsidTr="0031460C">
                    <w:tc>
                      <w:tcPr>
                        <w:tcW w:w="9464" w:type="dxa"/>
                      </w:tcPr>
                      <w:tbl>
                        <w:tblPr>
                          <w:tblW w:w="9464" w:type="dxa"/>
                          <w:tblLayout w:type="fixed"/>
                          <w:tblLook w:val="04A0" w:firstRow="1" w:lastRow="0" w:firstColumn="1" w:lastColumn="0" w:noHBand="0" w:noVBand="1"/>
                        </w:tblPr>
                        <w:tblGrid>
                          <w:gridCol w:w="9464"/>
                        </w:tblGrid>
                        <w:tr w:rsidR="00FA16FE" w:rsidRPr="00323057" w:rsidTr="0031460C">
                          <w:tc>
                            <w:tcPr>
                              <w:tcW w:w="9464" w:type="dxa"/>
                            </w:tcPr>
                            <w:p w:rsidR="00FA16FE" w:rsidRPr="00323057" w:rsidRDefault="00FA16FE" w:rsidP="003C72F1">
                              <w:pPr>
                                <w:framePr w:hSpace="180" w:wrap="around" w:hAnchor="margin" w:y="-705"/>
                                <w:jc w:val="both"/>
                                <w:rPr>
                                  <w:sz w:val="22"/>
                                  <w:szCs w:val="22"/>
                                </w:rPr>
                              </w:pPr>
                              <w:r>
                                <w:rPr>
                                  <w:sz w:val="22"/>
                                  <w:szCs w:val="22"/>
                                </w:rPr>
                                <w:t>I.Zālītis</w:t>
                              </w:r>
                            </w:p>
                          </w:tc>
                        </w:tr>
                        <w:tr w:rsidR="00FA16FE" w:rsidRPr="00323057" w:rsidTr="0031460C">
                          <w:tc>
                            <w:tcPr>
                              <w:tcW w:w="9464" w:type="dxa"/>
                            </w:tcPr>
                            <w:p w:rsidR="00FA16FE" w:rsidRPr="00323057" w:rsidRDefault="00FA16FE" w:rsidP="003C72F1">
                              <w:pPr>
                                <w:framePr w:hSpace="180" w:wrap="around" w:hAnchor="margin" w:y="-705"/>
                                <w:jc w:val="both"/>
                                <w:rPr>
                                  <w:sz w:val="22"/>
                                  <w:szCs w:val="22"/>
                                </w:rPr>
                              </w:pPr>
                            </w:p>
                            <w:p w:rsidR="00FA16FE" w:rsidRPr="00323057" w:rsidRDefault="00FA16FE" w:rsidP="003C72F1">
                              <w:pPr>
                                <w:framePr w:hSpace="180" w:wrap="around" w:hAnchor="margin" w:y="-705"/>
                                <w:jc w:val="both"/>
                                <w:rPr>
                                  <w:sz w:val="22"/>
                                  <w:szCs w:val="22"/>
                                </w:rPr>
                              </w:pPr>
                              <w:r>
                                <w:rPr>
                                  <w:sz w:val="22"/>
                                  <w:szCs w:val="22"/>
                                </w:rPr>
                                <w:t>A.Verkulevičs</w:t>
                              </w:r>
                            </w:p>
                          </w:tc>
                        </w:tr>
                      </w:tbl>
                      <w:p w:rsidR="00FA16FE" w:rsidRDefault="00FA16FE" w:rsidP="003C72F1">
                        <w:pPr>
                          <w:framePr w:hSpace="180" w:wrap="around" w:hAnchor="margin" w:y="-705"/>
                          <w:jc w:val="both"/>
                        </w:pPr>
                      </w:p>
                    </w:tc>
                  </w:tr>
                  <w:tr w:rsidR="00FA16FE" w:rsidRPr="005400EE" w:rsidTr="0031460C">
                    <w:tc>
                      <w:tcPr>
                        <w:tcW w:w="9464" w:type="dxa"/>
                      </w:tcPr>
                      <w:p w:rsidR="00FA16FE" w:rsidRDefault="00FA16FE" w:rsidP="003C72F1">
                        <w:pPr>
                          <w:framePr w:hSpace="180" w:wrap="around" w:hAnchor="margin" w:y="-705"/>
                          <w:jc w:val="both"/>
                        </w:pPr>
                      </w:p>
                    </w:tc>
                  </w:tr>
                  <w:tr w:rsidR="00FA16FE" w:rsidRPr="005400EE" w:rsidTr="0031460C">
                    <w:tc>
                      <w:tcPr>
                        <w:tcW w:w="9464" w:type="dxa"/>
                      </w:tcPr>
                      <w:p w:rsidR="00FA16FE" w:rsidRDefault="00FA16FE" w:rsidP="003C72F1">
                        <w:pPr>
                          <w:framePr w:hSpace="180" w:wrap="around" w:hAnchor="margin" w:y="-705"/>
                          <w:jc w:val="both"/>
                        </w:pPr>
                      </w:p>
                    </w:tc>
                  </w:tr>
                  <w:tr w:rsidR="00FA16FE" w:rsidRPr="005400EE" w:rsidTr="0031460C">
                    <w:trPr>
                      <w:trHeight w:val="80"/>
                    </w:trPr>
                    <w:tc>
                      <w:tcPr>
                        <w:tcW w:w="9464" w:type="dxa"/>
                      </w:tcPr>
                      <w:p w:rsidR="00FA16FE" w:rsidRDefault="00FA16FE" w:rsidP="003C72F1">
                        <w:pPr>
                          <w:framePr w:hSpace="180" w:wrap="around" w:hAnchor="margin" w:y="-705"/>
                          <w:jc w:val="both"/>
                        </w:pPr>
                      </w:p>
                    </w:tc>
                  </w:tr>
                </w:tbl>
                <w:p w:rsidR="00FA16FE" w:rsidRPr="005400EE" w:rsidRDefault="00FA16FE" w:rsidP="003C72F1">
                  <w:pPr>
                    <w:framePr w:hSpace="180" w:wrap="around" w:hAnchor="margin" w:y="-705"/>
                    <w:jc w:val="both"/>
                  </w:pPr>
                </w:p>
              </w:tc>
            </w:tr>
          </w:tbl>
          <w:p w:rsidR="00F00C85" w:rsidRPr="00FA16FE" w:rsidRDefault="00F00C85" w:rsidP="00C17885">
            <w:pPr>
              <w:jc w:val="both"/>
              <w:rPr>
                <w:sz w:val="22"/>
                <w:szCs w:val="22"/>
                <w:lang w:val="lv-LV"/>
              </w:rPr>
            </w:pPr>
          </w:p>
        </w:tc>
        <w:tc>
          <w:tcPr>
            <w:tcW w:w="341" w:type="dxa"/>
            <w:shd w:val="clear" w:color="auto" w:fill="auto"/>
          </w:tcPr>
          <w:p w:rsidR="008B192B" w:rsidRPr="005400EE" w:rsidRDefault="008B192B" w:rsidP="00C17885">
            <w:pPr>
              <w:tabs>
                <w:tab w:val="left" w:pos="2880"/>
                <w:tab w:val="left" w:pos="9000"/>
                <w:tab w:val="left" w:pos="9360"/>
                <w:tab w:val="left" w:pos="9575"/>
              </w:tabs>
              <w:jc w:val="both"/>
              <w:rPr>
                <w:sz w:val="22"/>
                <w:szCs w:val="22"/>
                <w:lang w:val="lv-LV"/>
              </w:rPr>
            </w:pPr>
          </w:p>
        </w:tc>
      </w:tr>
      <w:tr w:rsidR="001475C2" w:rsidRPr="005400EE" w:rsidTr="00FA16FE">
        <w:trPr>
          <w:gridAfter w:val="2"/>
          <w:wAfter w:w="10170" w:type="dxa"/>
          <w:trHeight w:val="80"/>
        </w:trPr>
        <w:tc>
          <w:tcPr>
            <w:tcW w:w="236" w:type="dxa"/>
            <w:shd w:val="clear" w:color="auto" w:fill="auto"/>
          </w:tcPr>
          <w:p w:rsidR="001475C2" w:rsidRPr="00977487" w:rsidRDefault="001475C2" w:rsidP="00FA16FE">
            <w:pPr>
              <w:jc w:val="both"/>
              <w:rPr>
                <w:sz w:val="20"/>
                <w:szCs w:val="20"/>
                <w:u w:val="single"/>
              </w:rPr>
            </w:pPr>
          </w:p>
        </w:tc>
      </w:tr>
    </w:tbl>
    <w:p w:rsidR="008B192B" w:rsidRPr="00A902A5" w:rsidRDefault="008B192B" w:rsidP="00220520">
      <w:pPr>
        <w:jc w:val="both"/>
        <w:rPr>
          <w:sz w:val="22"/>
          <w:szCs w:val="22"/>
          <w:lang w:val="lv-LV"/>
        </w:rPr>
      </w:pPr>
    </w:p>
    <w:sectPr w:rsidR="008B192B" w:rsidRPr="00A902A5" w:rsidSect="00114B81">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81" w:rsidRDefault="00114B81" w:rsidP="004F6DA6">
      <w:r>
        <w:separator/>
      </w:r>
    </w:p>
  </w:endnote>
  <w:endnote w:type="continuationSeparator" w:id="0">
    <w:p w:rsidR="00114B81" w:rsidRDefault="00114B81"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03064"/>
      <w:docPartObj>
        <w:docPartGallery w:val="Page Numbers (Bottom of Page)"/>
        <w:docPartUnique/>
      </w:docPartObj>
    </w:sdtPr>
    <w:sdtEndPr>
      <w:rPr>
        <w:noProof/>
      </w:rPr>
    </w:sdtEndPr>
    <w:sdtContent>
      <w:p w:rsidR="00114B81" w:rsidRDefault="00114B81">
        <w:pPr>
          <w:pStyle w:val="Footer"/>
          <w:jc w:val="right"/>
        </w:pPr>
        <w:r>
          <w:fldChar w:fldCharType="begin"/>
        </w:r>
        <w:r>
          <w:instrText xml:space="preserve"> PAGE   \* MERGEFORMAT </w:instrText>
        </w:r>
        <w:r>
          <w:fldChar w:fldCharType="separate"/>
        </w:r>
        <w:r w:rsidR="003C72F1">
          <w:rPr>
            <w:noProof/>
          </w:rPr>
          <w:t>1</w:t>
        </w:r>
        <w:r>
          <w:rPr>
            <w:noProof/>
          </w:rPr>
          <w:fldChar w:fldCharType="end"/>
        </w:r>
      </w:p>
    </w:sdtContent>
  </w:sdt>
  <w:p w:rsidR="00114B81" w:rsidRDefault="00114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81" w:rsidRDefault="00114B81" w:rsidP="004F6DA6">
      <w:r>
        <w:separator/>
      </w:r>
    </w:p>
  </w:footnote>
  <w:footnote w:type="continuationSeparator" w:id="0">
    <w:p w:rsidR="00114B81" w:rsidRDefault="00114B81" w:rsidP="004F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81" w:rsidRDefault="00114B81">
    <w:pPr>
      <w:pStyle w:val="Header"/>
      <w:jc w:val="right"/>
    </w:pPr>
  </w:p>
  <w:p w:rsidR="00114B81" w:rsidRDefault="00114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15632EB0"/>
    <w:multiLevelType w:val="hybridMultilevel"/>
    <w:tmpl w:val="C69A9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9"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30457E4"/>
    <w:multiLevelType w:val="multilevel"/>
    <w:tmpl w:val="2B804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8"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82D4370"/>
    <w:multiLevelType w:val="multilevel"/>
    <w:tmpl w:val="6F323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2661027"/>
    <w:multiLevelType w:val="hybridMultilevel"/>
    <w:tmpl w:val="17347774"/>
    <w:lvl w:ilvl="0" w:tplc="77FEDA0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7"/>
  </w:num>
  <w:num w:numId="3">
    <w:abstractNumId w:val="23"/>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1"/>
  </w:num>
  <w:num w:numId="7">
    <w:abstractNumId w:val="19"/>
  </w:num>
  <w:num w:numId="8">
    <w:abstractNumId w:val="32"/>
  </w:num>
  <w:num w:numId="9">
    <w:abstractNumId w:val="11"/>
  </w:num>
  <w:num w:numId="10">
    <w:abstractNumId w:val="29"/>
  </w:num>
  <w:num w:numId="11">
    <w:abstractNumId w:val="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5"/>
  </w:num>
  <w:num w:numId="16">
    <w:abstractNumId w:val="9"/>
  </w:num>
  <w:num w:numId="17">
    <w:abstractNumId w:val="24"/>
  </w:num>
  <w:num w:numId="18">
    <w:abstractNumId w:val="13"/>
  </w:num>
  <w:num w:numId="19">
    <w:abstractNumId w:val="10"/>
  </w:num>
  <w:num w:numId="20">
    <w:abstractNumId w:val="20"/>
  </w:num>
  <w:num w:numId="21">
    <w:abstractNumId w:val="31"/>
  </w:num>
  <w:num w:numId="22">
    <w:abstractNumId w:val="26"/>
  </w:num>
  <w:num w:numId="23">
    <w:abstractNumId w:val="15"/>
  </w:num>
  <w:num w:numId="24">
    <w:abstractNumId w:val="16"/>
  </w:num>
  <w:num w:numId="25">
    <w:abstractNumId w:val="4"/>
  </w:num>
  <w:num w:numId="26">
    <w:abstractNumId w:val="2"/>
  </w:num>
  <w:num w:numId="27">
    <w:abstractNumId w:val="8"/>
  </w:num>
  <w:num w:numId="28">
    <w:abstractNumId w:val="1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8"/>
  </w:num>
  <w:num w:numId="32">
    <w:abstractNumId w:val="6"/>
  </w:num>
  <w:num w:numId="33">
    <w:abstractNumId w:val="3"/>
  </w:num>
  <w:num w:numId="34">
    <w:abstractNumId w:val="17"/>
  </w:num>
  <w:num w:numId="35">
    <w:abstractNumId w:val="30"/>
  </w:num>
  <w:num w:numId="36">
    <w:abstractNumId w:val="3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E98"/>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10F"/>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4B81"/>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5C2"/>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CE5"/>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FC8"/>
    <w:rsid w:val="002F4130"/>
    <w:rsid w:val="002F4524"/>
    <w:rsid w:val="002F45BE"/>
    <w:rsid w:val="002F4CBD"/>
    <w:rsid w:val="002F6AD0"/>
    <w:rsid w:val="002F6B56"/>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60C"/>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3CF2"/>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2F1"/>
    <w:rsid w:val="003C795A"/>
    <w:rsid w:val="003D0988"/>
    <w:rsid w:val="003D1ADA"/>
    <w:rsid w:val="003D1FB8"/>
    <w:rsid w:val="003D23F3"/>
    <w:rsid w:val="003D262E"/>
    <w:rsid w:val="003D3130"/>
    <w:rsid w:val="003D3307"/>
    <w:rsid w:val="003D3734"/>
    <w:rsid w:val="003D4E91"/>
    <w:rsid w:val="003D53CD"/>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8D6"/>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DAD"/>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39C"/>
    <w:rsid w:val="00567625"/>
    <w:rsid w:val="005702BC"/>
    <w:rsid w:val="00570FBE"/>
    <w:rsid w:val="00571797"/>
    <w:rsid w:val="00571BCE"/>
    <w:rsid w:val="005727B9"/>
    <w:rsid w:val="005727E2"/>
    <w:rsid w:val="005729BF"/>
    <w:rsid w:val="0057400B"/>
    <w:rsid w:val="00574851"/>
    <w:rsid w:val="00575A27"/>
    <w:rsid w:val="00575F99"/>
    <w:rsid w:val="005767F5"/>
    <w:rsid w:val="00576A4E"/>
    <w:rsid w:val="0058033E"/>
    <w:rsid w:val="005806F6"/>
    <w:rsid w:val="00582BEC"/>
    <w:rsid w:val="00583605"/>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2D7E"/>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047"/>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498"/>
    <w:rsid w:val="00735763"/>
    <w:rsid w:val="00736BF6"/>
    <w:rsid w:val="00736DFE"/>
    <w:rsid w:val="007371B2"/>
    <w:rsid w:val="007417E5"/>
    <w:rsid w:val="00742597"/>
    <w:rsid w:val="00743A43"/>
    <w:rsid w:val="00743A9C"/>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2BD"/>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24C"/>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6FB3"/>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1D90"/>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099C"/>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2F9A"/>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BF61B7"/>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E6A"/>
    <w:rsid w:val="00C103DC"/>
    <w:rsid w:val="00C11AEB"/>
    <w:rsid w:val="00C11D7B"/>
    <w:rsid w:val="00C1238E"/>
    <w:rsid w:val="00C127E2"/>
    <w:rsid w:val="00C13209"/>
    <w:rsid w:val="00C13B2E"/>
    <w:rsid w:val="00C1407A"/>
    <w:rsid w:val="00C16519"/>
    <w:rsid w:val="00C16B53"/>
    <w:rsid w:val="00C16FB7"/>
    <w:rsid w:val="00C1733E"/>
    <w:rsid w:val="00C17885"/>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40E2"/>
    <w:rsid w:val="00C45010"/>
    <w:rsid w:val="00C4585D"/>
    <w:rsid w:val="00C458CA"/>
    <w:rsid w:val="00C45973"/>
    <w:rsid w:val="00C45B7B"/>
    <w:rsid w:val="00C47683"/>
    <w:rsid w:val="00C47C09"/>
    <w:rsid w:val="00C50B92"/>
    <w:rsid w:val="00C50B9F"/>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2D3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4CA1"/>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6D74"/>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0A9"/>
    <w:rsid w:val="00E4034F"/>
    <w:rsid w:val="00E41129"/>
    <w:rsid w:val="00E41D5E"/>
    <w:rsid w:val="00E41DC6"/>
    <w:rsid w:val="00E4238A"/>
    <w:rsid w:val="00E4298D"/>
    <w:rsid w:val="00E45951"/>
    <w:rsid w:val="00E46C7D"/>
    <w:rsid w:val="00E5006D"/>
    <w:rsid w:val="00E5034D"/>
    <w:rsid w:val="00E50CAB"/>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0DC9"/>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4320"/>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6FE"/>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09595-46F3-4C7D-A30F-9852A39A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uiPriority w:val="34"/>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table" w:styleId="TableGrid">
    <w:name w:val="Table Grid"/>
    <w:basedOn w:val="TableNormal"/>
    <w:uiPriority w:val="59"/>
    <w:rsid w:val="008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386807401">
      <w:bodyDiv w:val="1"/>
      <w:marLeft w:val="0"/>
      <w:marRight w:val="0"/>
      <w:marTop w:val="0"/>
      <w:marBottom w:val="0"/>
      <w:divBdr>
        <w:top w:val="none" w:sz="0" w:space="0" w:color="auto"/>
        <w:left w:val="none" w:sz="0" w:space="0" w:color="auto"/>
        <w:bottom w:val="none" w:sz="0" w:space="0" w:color="auto"/>
        <w:right w:val="none" w:sz="0" w:space="0" w:color="auto"/>
      </w:divBdr>
    </w:div>
    <w:div w:id="450708469">
      <w:bodyDiv w:val="1"/>
      <w:marLeft w:val="0"/>
      <w:marRight w:val="0"/>
      <w:marTop w:val="0"/>
      <w:marBottom w:val="0"/>
      <w:divBdr>
        <w:top w:val="none" w:sz="0" w:space="0" w:color="auto"/>
        <w:left w:val="none" w:sz="0" w:space="0" w:color="auto"/>
        <w:bottom w:val="none" w:sz="0" w:space="0" w:color="auto"/>
        <w:right w:val="none" w:sz="0" w:space="0" w:color="auto"/>
      </w:divBdr>
    </w:div>
    <w:div w:id="451750463">
      <w:bodyDiv w:val="1"/>
      <w:marLeft w:val="0"/>
      <w:marRight w:val="0"/>
      <w:marTop w:val="0"/>
      <w:marBottom w:val="0"/>
      <w:divBdr>
        <w:top w:val="none" w:sz="0" w:space="0" w:color="auto"/>
        <w:left w:val="none" w:sz="0" w:space="0" w:color="auto"/>
        <w:bottom w:val="none" w:sz="0" w:space="0" w:color="auto"/>
        <w:right w:val="none" w:sz="0" w:space="0" w:color="auto"/>
      </w:divBdr>
    </w:div>
    <w:div w:id="555049469">
      <w:bodyDiv w:val="1"/>
      <w:marLeft w:val="0"/>
      <w:marRight w:val="0"/>
      <w:marTop w:val="0"/>
      <w:marBottom w:val="0"/>
      <w:divBdr>
        <w:top w:val="none" w:sz="0" w:space="0" w:color="auto"/>
        <w:left w:val="none" w:sz="0" w:space="0" w:color="auto"/>
        <w:bottom w:val="none" w:sz="0" w:space="0" w:color="auto"/>
        <w:right w:val="none" w:sz="0" w:space="0" w:color="auto"/>
      </w:divBdr>
    </w:div>
    <w:div w:id="662860521">
      <w:bodyDiv w:val="1"/>
      <w:marLeft w:val="0"/>
      <w:marRight w:val="0"/>
      <w:marTop w:val="0"/>
      <w:marBottom w:val="0"/>
      <w:divBdr>
        <w:top w:val="none" w:sz="0" w:space="0" w:color="auto"/>
        <w:left w:val="none" w:sz="0" w:space="0" w:color="auto"/>
        <w:bottom w:val="none" w:sz="0" w:space="0" w:color="auto"/>
        <w:right w:val="none" w:sz="0" w:space="0" w:color="auto"/>
      </w:divBdr>
    </w:div>
    <w:div w:id="665137494">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190948137">
      <w:bodyDiv w:val="1"/>
      <w:marLeft w:val="0"/>
      <w:marRight w:val="0"/>
      <w:marTop w:val="0"/>
      <w:marBottom w:val="0"/>
      <w:divBdr>
        <w:top w:val="none" w:sz="0" w:space="0" w:color="auto"/>
        <w:left w:val="none" w:sz="0" w:space="0" w:color="auto"/>
        <w:bottom w:val="none" w:sz="0" w:space="0" w:color="auto"/>
        <w:right w:val="none" w:sz="0" w:space="0" w:color="auto"/>
      </w:divBdr>
    </w:div>
    <w:div w:id="1336105873">
      <w:bodyDiv w:val="1"/>
      <w:marLeft w:val="0"/>
      <w:marRight w:val="0"/>
      <w:marTop w:val="0"/>
      <w:marBottom w:val="0"/>
      <w:divBdr>
        <w:top w:val="none" w:sz="0" w:space="0" w:color="auto"/>
        <w:left w:val="none" w:sz="0" w:space="0" w:color="auto"/>
        <w:bottom w:val="none" w:sz="0" w:space="0" w:color="auto"/>
        <w:right w:val="none" w:sz="0" w:space="0" w:color="auto"/>
      </w:divBdr>
    </w:div>
    <w:div w:id="1424498151">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1915238741">
      <w:bodyDiv w:val="1"/>
      <w:marLeft w:val="0"/>
      <w:marRight w:val="0"/>
      <w:marTop w:val="0"/>
      <w:marBottom w:val="0"/>
      <w:divBdr>
        <w:top w:val="none" w:sz="0" w:space="0" w:color="auto"/>
        <w:left w:val="none" w:sz="0" w:space="0" w:color="auto"/>
        <w:bottom w:val="none" w:sz="0" w:space="0" w:color="auto"/>
        <w:right w:val="none" w:sz="0" w:space="0" w:color="auto"/>
      </w:divBdr>
    </w:div>
    <w:div w:id="1940016213">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C236-3198-4EE4-B5D1-F9F66908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1434</Words>
  <Characters>818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BO00020</dc:creator>
  <cp:keywords/>
  <dc:description/>
  <cp:lastModifiedBy>Jevgēnijs Gramsts</cp:lastModifiedBy>
  <cp:revision>2</cp:revision>
  <cp:lastPrinted>2016-08-09T07:07:00Z</cp:lastPrinted>
  <dcterms:created xsi:type="dcterms:W3CDTF">2016-08-19T11:02:00Z</dcterms:created>
  <dcterms:modified xsi:type="dcterms:W3CDTF">2016-08-19T11:02:00Z</dcterms:modified>
</cp:coreProperties>
</file>